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ECAFC">
      <w:pPr>
        <w:keepNext w:val="0"/>
        <w:keepLines w:val="0"/>
        <w:pageBreakBefore w:val="0"/>
        <w:kinsoku/>
        <w:wordWrap/>
        <w:overflowPunct/>
        <w:topLinePunct w:val="0"/>
        <w:bidi w:val="0"/>
        <w:adjustRightInd w:val="0"/>
        <w:snapToGrid w:val="0"/>
        <w:spacing w:line="440" w:lineRule="exact"/>
        <w:jc w:val="center"/>
        <w:textAlignment w:val="auto"/>
        <w:rPr>
          <w:rFonts w:hint="default" w:ascii="Times New Roman" w:hAnsi="Times New Roman" w:eastAsia="仿宋" w:cs="Times New Roman"/>
          <w:b/>
          <w:bCs/>
          <w:sz w:val="32"/>
          <w:szCs w:val="32"/>
          <w:highlight w:val="none"/>
        </w:rPr>
      </w:pPr>
      <w:r>
        <w:rPr>
          <w:rFonts w:hint="eastAsia" w:eastAsia="仿宋" w:cs="Times New Roman"/>
          <w:b/>
          <w:bCs/>
          <w:sz w:val="32"/>
          <w:szCs w:val="32"/>
          <w:highlight w:val="none"/>
          <w:lang w:val="en-US" w:eastAsia="zh-CN"/>
        </w:rPr>
        <w:t>团体</w:t>
      </w:r>
      <w:r>
        <w:rPr>
          <w:rFonts w:hint="default" w:ascii="Times New Roman" w:hAnsi="Times New Roman" w:eastAsia="仿宋" w:cs="Times New Roman"/>
          <w:b/>
          <w:bCs/>
          <w:sz w:val="32"/>
          <w:szCs w:val="32"/>
          <w:highlight w:val="none"/>
        </w:rPr>
        <w:t>标准</w:t>
      </w:r>
      <w:r>
        <w:rPr>
          <w:rFonts w:hint="default" w:ascii="Times New Roman" w:hAnsi="Times New Roman" w:eastAsia="仿宋" w:cs="Times New Roman"/>
          <w:b/>
          <w:bCs/>
          <w:sz w:val="32"/>
          <w:szCs w:val="32"/>
          <w:highlight w:val="none"/>
          <w:lang w:val="zh-CN"/>
        </w:rPr>
        <w:t>《</w:t>
      </w:r>
      <w:r>
        <w:rPr>
          <w:rFonts w:hint="eastAsia" w:eastAsia="仿宋" w:cs="Times New Roman"/>
          <w:b/>
          <w:bCs/>
          <w:sz w:val="32"/>
          <w:szCs w:val="32"/>
          <w:highlight w:val="none"/>
          <w:lang w:val="en-US" w:eastAsia="zh-CN"/>
        </w:rPr>
        <w:t>王莲栽培</w:t>
      </w:r>
      <w:r>
        <w:rPr>
          <w:rFonts w:hint="default" w:ascii="Times New Roman" w:hAnsi="Times New Roman" w:eastAsia="仿宋" w:cs="Times New Roman"/>
          <w:b/>
          <w:bCs/>
          <w:sz w:val="32"/>
          <w:szCs w:val="32"/>
          <w:highlight w:val="none"/>
        </w:rPr>
        <w:t>技术规程》</w:t>
      </w:r>
    </w:p>
    <w:p w14:paraId="7AFE0FD3">
      <w:pPr>
        <w:keepNext w:val="0"/>
        <w:keepLines w:val="0"/>
        <w:pageBreakBefore w:val="0"/>
        <w:kinsoku/>
        <w:wordWrap/>
        <w:overflowPunct/>
        <w:topLinePunct w:val="0"/>
        <w:bidi w:val="0"/>
        <w:adjustRightInd w:val="0"/>
        <w:snapToGrid w:val="0"/>
        <w:spacing w:line="440" w:lineRule="exact"/>
        <w:jc w:val="center"/>
        <w:textAlignment w:val="auto"/>
        <w:rPr>
          <w:rFonts w:hint="default" w:ascii="Times New Roman" w:hAnsi="Times New Roman" w:eastAsia="仿宋" w:cs="Times New Roman"/>
          <w:sz w:val="36"/>
          <w:szCs w:val="36"/>
          <w:highlight w:val="none"/>
        </w:rPr>
      </w:pPr>
      <w:r>
        <w:rPr>
          <w:rFonts w:hint="default" w:ascii="Times New Roman" w:hAnsi="Times New Roman" w:eastAsia="仿宋" w:cs="Times New Roman"/>
          <w:b/>
          <w:bCs/>
          <w:sz w:val="32"/>
          <w:szCs w:val="32"/>
          <w:highlight w:val="none"/>
        </w:rPr>
        <w:t>（征求意见稿）编制说明</w:t>
      </w:r>
    </w:p>
    <w:p w14:paraId="7331B291">
      <w:pPr>
        <w:keepNext w:val="0"/>
        <w:keepLines w:val="0"/>
        <w:pageBreakBefore w:val="0"/>
        <w:kinsoku/>
        <w:wordWrap/>
        <w:overflowPunct/>
        <w:topLinePunct w:val="0"/>
        <w:bidi w:val="0"/>
        <w:adjustRightInd w:val="0"/>
        <w:snapToGrid w:val="0"/>
        <w:spacing w:line="440" w:lineRule="exact"/>
        <w:jc w:val="center"/>
        <w:textAlignment w:val="auto"/>
        <w:rPr>
          <w:rFonts w:hint="default" w:ascii="Times New Roman" w:hAnsi="Times New Roman" w:eastAsia="仿宋" w:cs="Times New Roman"/>
          <w:b/>
          <w:sz w:val="28"/>
          <w:szCs w:val="28"/>
          <w:highlight w:val="none"/>
        </w:rPr>
      </w:pPr>
    </w:p>
    <w:p w14:paraId="30733D9D">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lang w:eastAsia="zh-CN"/>
        </w:rPr>
        <w:t>一、</w:t>
      </w:r>
      <w:r>
        <w:rPr>
          <w:rFonts w:hint="eastAsia" w:eastAsia="黑体" w:cs="Times New Roman"/>
          <w:color w:val="auto"/>
          <w:sz w:val="32"/>
          <w:szCs w:val="32"/>
          <w:highlight w:val="none"/>
          <w:lang w:val="en-US" w:eastAsia="zh-CN"/>
        </w:rPr>
        <w:t>任务</w:t>
      </w:r>
      <w:r>
        <w:rPr>
          <w:rFonts w:hint="default" w:ascii="Times New Roman" w:hAnsi="Times New Roman" w:eastAsia="黑体" w:cs="Times New Roman"/>
          <w:color w:val="auto"/>
          <w:sz w:val="32"/>
          <w:szCs w:val="32"/>
          <w:highlight w:val="none"/>
          <w:lang w:val="zh-CN"/>
        </w:rPr>
        <w:t>来源</w:t>
      </w:r>
      <w:r>
        <w:rPr>
          <w:rFonts w:hint="eastAsia" w:eastAsia="黑体" w:cs="Times New Roman"/>
          <w:color w:val="auto"/>
          <w:sz w:val="32"/>
          <w:szCs w:val="32"/>
          <w:highlight w:val="none"/>
          <w:lang w:val="zh-CN"/>
        </w:rPr>
        <w:t>、</w:t>
      </w:r>
      <w:r>
        <w:rPr>
          <w:rFonts w:hint="eastAsia" w:eastAsia="黑体" w:cs="Times New Roman"/>
          <w:color w:val="auto"/>
          <w:sz w:val="32"/>
          <w:szCs w:val="32"/>
          <w:highlight w:val="none"/>
          <w:lang w:val="en-US" w:eastAsia="zh-CN"/>
        </w:rPr>
        <w:t>起草单位、主要起草人</w:t>
      </w:r>
    </w:p>
    <w:p w14:paraId="61E81F25">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eastAsia" w:eastAsia="仿宋" w:cs="Times New Roman"/>
          <w:kern w:val="0"/>
          <w:sz w:val="28"/>
          <w:szCs w:val="28"/>
          <w:highlight w:val="none"/>
          <w:lang w:val="en-US" w:eastAsia="zh-CN"/>
        </w:rPr>
      </w:pPr>
      <w:r>
        <w:rPr>
          <w:rFonts w:hint="default" w:ascii="Times New Roman" w:hAnsi="Times New Roman" w:eastAsia="仿宋" w:cs="Times New Roman"/>
          <w:kern w:val="0"/>
          <w:sz w:val="28"/>
          <w:szCs w:val="28"/>
          <w:highlight w:val="none"/>
          <w:lang w:val="zh-CN"/>
        </w:rPr>
        <w:t>根据广西</w:t>
      </w:r>
      <w:r>
        <w:rPr>
          <w:rFonts w:hint="eastAsia" w:eastAsia="仿宋" w:cs="Times New Roman"/>
          <w:kern w:val="0"/>
          <w:sz w:val="28"/>
          <w:szCs w:val="28"/>
          <w:highlight w:val="none"/>
          <w:lang w:val="en-US" w:eastAsia="zh-CN"/>
        </w:rPr>
        <w:t>标准化协会</w:t>
      </w:r>
      <w:r>
        <w:rPr>
          <w:rFonts w:hint="default" w:ascii="Times New Roman" w:hAnsi="Times New Roman" w:eastAsia="仿宋" w:cs="Times New Roman"/>
          <w:kern w:val="0"/>
          <w:sz w:val="28"/>
          <w:szCs w:val="28"/>
          <w:highlight w:val="none"/>
          <w:lang w:val="zh-CN"/>
        </w:rPr>
        <w:t>《关于下达</w:t>
      </w:r>
      <w:r>
        <w:rPr>
          <w:rFonts w:hint="eastAsia" w:eastAsia="仿宋" w:cs="Times New Roman"/>
          <w:kern w:val="0"/>
          <w:sz w:val="28"/>
          <w:szCs w:val="28"/>
          <w:highlight w:val="none"/>
          <w:lang w:val="en-US" w:eastAsia="zh-CN"/>
        </w:rPr>
        <w:t>2023年第七十八批团体标准制修订项目计划</w:t>
      </w:r>
      <w:r>
        <w:rPr>
          <w:rFonts w:hint="default" w:ascii="Times New Roman" w:hAnsi="Times New Roman" w:eastAsia="仿宋" w:cs="Times New Roman"/>
          <w:kern w:val="0"/>
          <w:sz w:val="28"/>
          <w:szCs w:val="28"/>
          <w:highlight w:val="none"/>
          <w:lang w:val="zh-CN"/>
        </w:rPr>
        <w:t>的通知》（桂</w:t>
      </w:r>
      <w:r>
        <w:rPr>
          <w:rFonts w:hint="eastAsia" w:eastAsia="仿宋" w:cs="Times New Roman"/>
          <w:kern w:val="0"/>
          <w:sz w:val="28"/>
          <w:szCs w:val="28"/>
          <w:highlight w:val="none"/>
          <w:lang w:val="en-US" w:eastAsia="zh-CN"/>
        </w:rPr>
        <w:t>标协</w:t>
      </w:r>
      <w:r>
        <w:rPr>
          <w:rFonts w:hint="default" w:ascii="Times New Roman" w:hAnsi="Times New Roman" w:eastAsia="仿宋" w:cs="Times New Roman"/>
          <w:kern w:val="0"/>
          <w:sz w:val="28"/>
          <w:szCs w:val="28"/>
          <w:highlight w:val="none"/>
          <w:lang w:val="zh-CN"/>
        </w:rPr>
        <w:t>〔2023〕</w:t>
      </w:r>
      <w:r>
        <w:rPr>
          <w:rFonts w:hint="eastAsia" w:eastAsia="仿宋" w:cs="Times New Roman"/>
          <w:kern w:val="0"/>
          <w:sz w:val="28"/>
          <w:szCs w:val="28"/>
          <w:highlight w:val="none"/>
          <w:lang w:val="en-US" w:eastAsia="zh-CN"/>
        </w:rPr>
        <w:t>258</w:t>
      </w:r>
      <w:r>
        <w:rPr>
          <w:rFonts w:hint="default" w:ascii="Times New Roman" w:hAnsi="Times New Roman" w:eastAsia="仿宋" w:cs="Times New Roman"/>
          <w:kern w:val="0"/>
          <w:sz w:val="28"/>
          <w:szCs w:val="28"/>
          <w:highlight w:val="none"/>
          <w:lang w:val="zh-CN"/>
        </w:rPr>
        <w:t xml:space="preserve"> 号</w:t>
      </w:r>
      <w:r>
        <w:rPr>
          <w:rFonts w:hint="default" w:ascii="Times New Roman" w:hAnsi="Times New Roman" w:eastAsia="仿宋" w:cs="Times New Roman"/>
          <w:kern w:val="0"/>
          <w:sz w:val="28"/>
          <w:szCs w:val="28"/>
          <w:highlight w:val="none"/>
          <w:lang w:eastAsia="zh-CN"/>
        </w:rPr>
        <w:t>）</w:t>
      </w:r>
      <w:r>
        <w:rPr>
          <w:rFonts w:hint="default" w:ascii="Times New Roman" w:hAnsi="Times New Roman" w:eastAsia="仿宋_GB2312" w:cs="Times New Roman"/>
          <w:color w:val="000000"/>
          <w:sz w:val="28"/>
          <w:szCs w:val="28"/>
          <w:highlight w:val="none"/>
        </w:rPr>
        <w:t>文件精神，</w:t>
      </w:r>
      <w:r>
        <w:rPr>
          <w:rFonts w:hint="eastAsia" w:eastAsia="仿宋" w:cs="Times New Roman"/>
          <w:kern w:val="0"/>
          <w:sz w:val="28"/>
          <w:szCs w:val="28"/>
          <w:highlight w:val="none"/>
          <w:lang w:val="en-US" w:eastAsia="zh-CN"/>
        </w:rPr>
        <w:t>团体</w:t>
      </w:r>
      <w:r>
        <w:rPr>
          <w:rFonts w:hint="default" w:ascii="Times New Roman" w:hAnsi="Times New Roman" w:eastAsia="仿宋" w:cs="Times New Roman"/>
          <w:kern w:val="0"/>
          <w:sz w:val="28"/>
          <w:szCs w:val="28"/>
          <w:highlight w:val="none"/>
          <w:lang w:val="zh-CN"/>
        </w:rPr>
        <w:t>标准《</w:t>
      </w:r>
      <w:r>
        <w:rPr>
          <w:rFonts w:hint="eastAsia" w:eastAsia="仿宋" w:cs="Times New Roman"/>
          <w:kern w:val="0"/>
          <w:sz w:val="28"/>
          <w:szCs w:val="28"/>
          <w:highlight w:val="none"/>
          <w:lang w:val="en-US" w:eastAsia="zh-CN"/>
        </w:rPr>
        <w:t>王莲栽培</w:t>
      </w:r>
      <w:r>
        <w:rPr>
          <w:rFonts w:hint="default" w:ascii="Times New Roman" w:hAnsi="Times New Roman" w:eastAsia="仿宋" w:cs="Times New Roman"/>
          <w:kern w:val="0"/>
          <w:sz w:val="28"/>
          <w:szCs w:val="28"/>
          <w:highlight w:val="none"/>
          <w:lang w:val="zh-CN"/>
        </w:rPr>
        <w:t>技术规程》</w:t>
      </w:r>
      <w:r>
        <w:rPr>
          <w:rFonts w:hint="eastAsia" w:eastAsia="仿宋" w:cs="Times New Roman"/>
          <w:kern w:val="0"/>
          <w:sz w:val="28"/>
          <w:szCs w:val="28"/>
          <w:highlight w:val="none"/>
          <w:lang w:val="zh-CN"/>
        </w:rPr>
        <w:t>（</w:t>
      </w:r>
      <w:r>
        <w:rPr>
          <w:rFonts w:hint="eastAsia" w:eastAsia="仿宋" w:cs="Times New Roman"/>
          <w:kern w:val="0"/>
          <w:sz w:val="28"/>
          <w:szCs w:val="28"/>
          <w:highlight w:val="none"/>
          <w:lang w:val="en-US" w:eastAsia="zh-CN"/>
        </w:rPr>
        <w:t>2023-7801</w:t>
      </w:r>
      <w:r>
        <w:rPr>
          <w:rFonts w:hint="eastAsia" w:eastAsia="仿宋" w:cs="Times New Roman"/>
          <w:kern w:val="0"/>
          <w:sz w:val="28"/>
          <w:szCs w:val="28"/>
          <w:highlight w:val="none"/>
          <w:lang w:val="zh-CN"/>
        </w:rPr>
        <w:t>）</w:t>
      </w:r>
      <w:r>
        <w:rPr>
          <w:rFonts w:hint="default" w:ascii="Times New Roman" w:hAnsi="Times New Roman" w:eastAsia="仿宋_GB2312" w:cs="Times New Roman"/>
          <w:color w:val="000000"/>
          <w:sz w:val="28"/>
          <w:szCs w:val="28"/>
          <w:highlight w:val="none"/>
          <w:lang w:eastAsia="zh-CN"/>
        </w:rPr>
        <w:t>由广西</w:t>
      </w:r>
      <w:r>
        <w:rPr>
          <w:rFonts w:hint="eastAsia" w:eastAsia="仿宋_GB2312" w:cs="Times New Roman"/>
          <w:color w:val="000000"/>
          <w:sz w:val="28"/>
          <w:szCs w:val="28"/>
          <w:highlight w:val="none"/>
          <w:lang w:val="en-US" w:eastAsia="zh-CN"/>
        </w:rPr>
        <w:t>花卉协会</w:t>
      </w:r>
      <w:r>
        <w:rPr>
          <w:rFonts w:hint="default" w:ascii="Times New Roman" w:hAnsi="Times New Roman" w:eastAsia="仿宋" w:cs="Times New Roman"/>
          <w:kern w:val="0"/>
          <w:sz w:val="28"/>
          <w:szCs w:val="28"/>
          <w:highlight w:val="none"/>
          <w:lang w:val="zh-CN"/>
        </w:rPr>
        <w:t>提出，</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eastAsia" w:eastAsia="仿宋" w:cs="Times New Roman"/>
          <w:kern w:val="0"/>
          <w:sz w:val="28"/>
          <w:szCs w:val="28"/>
          <w:highlight w:val="none"/>
          <w:lang w:val="en-US" w:eastAsia="zh-CN"/>
        </w:rPr>
        <w:t>共同</w:t>
      </w:r>
      <w:r>
        <w:rPr>
          <w:rFonts w:hint="default" w:ascii="Times New Roman" w:hAnsi="Times New Roman" w:eastAsia="仿宋" w:cs="Times New Roman"/>
          <w:kern w:val="0"/>
          <w:sz w:val="28"/>
          <w:szCs w:val="28"/>
          <w:highlight w:val="none"/>
          <w:lang w:val="zh-CN"/>
        </w:rPr>
        <w:t>起草</w:t>
      </w:r>
      <w:r>
        <w:rPr>
          <w:rFonts w:hint="eastAsia" w:eastAsia="仿宋" w:cs="Times New Roman"/>
          <w:kern w:val="0"/>
          <w:sz w:val="28"/>
          <w:szCs w:val="28"/>
          <w:highlight w:val="none"/>
          <w:lang w:val="zh-CN"/>
        </w:rPr>
        <w:t>，</w:t>
      </w:r>
      <w:r>
        <w:rPr>
          <w:rFonts w:hint="eastAsia" w:eastAsia="仿宋" w:cs="Times New Roman"/>
          <w:kern w:val="0"/>
          <w:sz w:val="28"/>
          <w:szCs w:val="28"/>
          <w:highlight w:val="none"/>
          <w:lang w:val="en-US" w:eastAsia="zh-CN"/>
        </w:rPr>
        <w:t>主要起草人如下：</w:t>
      </w:r>
    </w:p>
    <w:tbl>
      <w:tblPr>
        <w:tblStyle w:val="7"/>
        <w:tblW w:w="7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3423"/>
        <w:gridCol w:w="1324"/>
        <w:gridCol w:w="1955"/>
      </w:tblGrid>
      <w:tr w14:paraId="71E5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47" w:type="dxa"/>
            <w:tcBorders>
              <w:top w:val="single" w:color="auto" w:sz="4" w:space="0"/>
              <w:left w:val="single" w:color="auto" w:sz="4" w:space="0"/>
              <w:bottom w:val="single" w:color="auto" w:sz="4" w:space="0"/>
              <w:right w:val="single" w:color="auto" w:sz="4" w:space="0"/>
            </w:tcBorders>
          </w:tcPr>
          <w:p w14:paraId="6BA0EDA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姓 名</w:t>
            </w:r>
          </w:p>
        </w:tc>
        <w:tc>
          <w:tcPr>
            <w:tcW w:w="3423" w:type="dxa"/>
            <w:tcBorders>
              <w:top w:val="single" w:color="auto" w:sz="4" w:space="0"/>
              <w:left w:val="nil"/>
              <w:bottom w:val="single" w:color="auto" w:sz="4" w:space="0"/>
              <w:right w:val="single" w:color="auto" w:sz="4" w:space="0"/>
            </w:tcBorders>
            <w:vAlign w:val="top"/>
          </w:tcPr>
          <w:p w14:paraId="24FF24E8">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b/>
                <w:bCs/>
                <w:kern w:val="2"/>
                <w:sz w:val="21"/>
                <w:szCs w:val="21"/>
                <w:highlight w:val="none"/>
                <w:lang w:val="en-US" w:eastAsia="zh-CN" w:bidi="ar-SA"/>
              </w:rPr>
            </w:pPr>
            <w:r>
              <w:rPr>
                <w:rFonts w:hint="default" w:ascii="Times New Roman" w:hAnsi="Times New Roman" w:eastAsia="仿宋" w:cs="Times New Roman"/>
                <w:b/>
                <w:bCs/>
                <w:sz w:val="21"/>
                <w:szCs w:val="21"/>
                <w:highlight w:val="none"/>
              </w:rPr>
              <w:t>工作单位</w:t>
            </w:r>
          </w:p>
        </w:tc>
        <w:tc>
          <w:tcPr>
            <w:tcW w:w="1324" w:type="dxa"/>
            <w:tcBorders>
              <w:top w:val="single" w:color="auto" w:sz="4" w:space="0"/>
              <w:left w:val="nil"/>
              <w:bottom w:val="single" w:color="auto" w:sz="4" w:space="0"/>
              <w:right w:val="single" w:color="auto" w:sz="4" w:space="0"/>
            </w:tcBorders>
          </w:tcPr>
          <w:p w14:paraId="2C6EECE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职务/职称</w:t>
            </w:r>
          </w:p>
        </w:tc>
        <w:tc>
          <w:tcPr>
            <w:tcW w:w="1955" w:type="dxa"/>
            <w:tcBorders>
              <w:top w:val="single" w:color="auto" w:sz="4" w:space="0"/>
              <w:left w:val="nil"/>
              <w:bottom w:val="single" w:color="auto" w:sz="4" w:space="0"/>
              <w:right w:val="single" w:color="auto" w:sz="4" w:space="0"/>
            </w:tcBorders>
          </w:tcPr>
          <w:p w14:paraId="0A6CCF9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b/>
                <w:bCs/>
                <w:sz w:val="21"/>
                <w:szCs w:val="21"/>
                <w:highlight w:val="none"/>
              </w:rPr>
            </w:pPr>
            <w:r>
              <w:rPr>
                <w:rFonts w:hint="default" w:ascii="Times New Roman" w:hAnsi="Times New Roman" w:eastAsia="仿宋" w:cs="Times New Roman"/>
                <w:b/>
                <w:bCs/>
                <w:sz w:val="21"/>
                <w:szCs w:val="21"/>
                <w:highlight w:val="none"/>
              </w:rPr>
              <w:t>责任分工</w:t>
            </w:r>
          </w:p>
        </w:tc>
      </w:tr>
      <w:tr w14:paraId="00B2E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561A98A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ascii="Times New Roman" w:hAnsi="Times New Roman" w:eastAsia="仿宋" w:cs="Times New Roman"/>
                <w:sz w:val="21"/>
                <w:szCs w:val="21"/>
                <w:highlight w:val="none"/>
                <w:lang w:val="en-US" w:eastAsia="zh-CN"/>
              </w:rPr>
              <w:t>毛立彦</w:t>
            </w:r>
          </w:p>
        </w:tc>
        <w:tc>
          <w:tcPr>
            <w:tcW w:w="3423" w:type="dxa"/>
            <w:tcBorders>
              <w:top w:val="single" w:color="auto" w:sz="4" w:space="0"/>
              <w:left w:val="nil"/>
              <w:bottom w:val="single" w:color="auto" w:sz="4" w:space="0"/>
              <w:right w:val="single" w:color="auto" w:sz="4" w:space="0"/>
            </w:tcBorders>
            <w:vAlign w:val="center"/>
          </w:tcPr>
          <w:p w14:paraId="4A60DDF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ascii="Times New Roman" w:hAnsi="Times New Roman" w:eastAsia="仿宋" w:cs="Times New Roman"/>
                <w:kern w:val="2"/>
                <w:sz w:val="21"/>
                <w:szCs w:val="21"/>
                <w:highlight w:val="none"/>
                <w:lang w:val="en-US" w:eastAsia="zh-CN" w:bidi="ar-SA"/>
              </w:rPr>
            </w:pPr>
            <w:r>
              <w:rPr>
                <w:rFonts w:hint="default" w:ascii="Times New Roman" w:hAnsi="Times New Roman" w:eastAsia="仿宋" w:cs="Times New Roman"/>
                <w:sz w:val="21"/>
                <w:szCs w:val="21"/>
                <w:highlight w:val="none"/>
                <w:lang w:val="en-US" w:eastAsia="zh-CN"/>
              </w:rPr>
              <w:t>广西壮族自治区亚热带作物研究所</w:t>
            </w:r>
          </w:p>
        </w:tc>
        <w:tc>
          <w:tcPr>
            <w:tcW w:w="1324" w:type="dxa"/>
            <w:tcBorders>
              <w:top w:val="single" w:color="auto" w:sz="4" w:space="0"/>
              <w:left w:val="nil"/>
              <w:bottom w:val="single" w:color="auto" w:sz="4" w:space="0"/>
              <w:right w:val="single" w:color="auto" w:sz="4" w:space="0"/>
            </w:tcBorders>
            <w:vAlign w:val="center"/>
          </w:tcPr>
          <w:p w14:paraId="799F23A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ascii="Times New Roman" w:hAnsi="Times New Roman" w:eastAsia="仿宋" w:cs="Times New Roman"/>
                <w:sz w:val="21"/>
                <w:szCs w:val="21"/>
                <w:highlight w:val="none"/>
                <w:lang w:val="en-US" w:eastAsia="zh-CN"/>
              </w:rPr>
              <w:t>高级农艺师</w:t>
            </w:r>
          </w:p>
        </w:tc>
        <w:tc>
          <w:tcPr>
            <w:tcW w:w="1955" w:type="dxa"/>
            <w:tcBorders>
              <w:top w:val="single" w:color="auto" w:sz="4" w:space="0"/>
              <w:left w:val="nil"/>
              <w:bottom w:val="single" w:color="auto" w:sz="4" w:space="0"/>
              <w:right w:val="single" w:color="auto" w:sz="4" w:space="0"/>
            </w:tcBorders>
            <w:vAlign w:val="center"/>
          </w:tcPr>
          <w:p w14:paraId="680AA75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ascii="Times New Roman" w:hAnsi="Times New Roman" w:eastAsia="仿宋" w:cs="Times New Roman"/>
                <w:sz w:val="21"/>
                <w:szCs w:val="21"/>
                <w:highlight w:val="none"/>
                <w:lang w:val="en-US" w:eastAsia="zh-CN"/>
              </w:rPr>
              <w:t>主持</w:t>
            </w:r>
            <w:r>
              <w:rPr>
                <w:rFonts w:hint="eastAsia" w:eastAsia="仿宋" w:cs="Times New Roman"/>
                <w:sz w:val="21"/>
                <w:szCs w:val="21"/>
                <w:highlight w:val="none"/>
                <w:lang w:val="en-US" w:eastAsia="zh-CN"/>
              </w:rPr>
              <w:t>，文本撰写及流程跟踪</w:t>
            </w:r>
          </w:p>
        </w:tc>
      </w:tr>
      <w:tr w14:paraId="5E84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75EE40B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莫露露</w:t>
            </w:r>
          </w:p>
        </w:tc>
        <w:tc>
          <w:tcPr>
            <w:tcW w:w="3423" w:type="dxa"/>
            <w:tcBorders>
              <w:top w:val="single" w:color="auto" w:sz="4" w:space="0"/>
              <w:left w:val="nil"/>
              <w:bottom w:val="single" w:color="auto" w:sz="4" w:space="0"/>
              <w:right w:val="single" w:color="auto" w:sz="4" w:space="0"/>
            </w:tcBorders>
            <w:vAlign w:val="center"/>
          </w:tcPr>
          <w:p w14:paraId="562AD4B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kern w:val="2"/>
                <w:sz w:val="21"/>
                <w:szCs w:val="21"/>
                <w:highlight w:val="none"/>
                <w:lang w:val="en-US" w:eastAsia="zh-CN" w:bidi="ar-SA"/>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6DBE036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ascii="Times New Roman" w:hAnsi="Times New Roman" w:eastAsia="仿宋" w:cs="Times New Roman"/>
                <w:szCs w:val="21"/>
              </w:rPr>
              <w:t>工程师</w:t>
            </w:r>
          </w:p>
        </w:tc>
        <w:tc>
          <w:tcPr>
            <w:tcW w:w="1955" w:type="dxa"/>
            <w:tcBorders>
              <w:top w:val="single" w:color="auto" w:sz="4" w:space="0"/>
              <w:left w:val="nil"/>
              <w:bottom w:val="single" w:color="auto" w:sz="4" w:space="0"/>
              <w:right w:val="single" w:color="auto" w:sz="4" w:space="0"/>
            </w:tcBorders>
            <w:vAlign w:val="center"/>
          </w:tcPr>
          <w:p w14:paraId="2A629D7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7A74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4426BFCB">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周泉</w:t>
            </w:r>
          </w:p>
        </w:tc>
        <w:tc>
          <w:tcPr>
            <w:tcW w:w="3423" w:type="dxa"/>
            <w:tcBorders>
              <w:top w:val="single" w:color="auto" w:sz="4" w:space="0"/>
              <w:left w:val="nil"/>
              <w:bottom w:val="single" w:color="auto" w:sz="4" w:space="0"/>
              <w:right w:val="single" w:color="auto" w:sz="4" w:space="0"/>
            </w:tcBorders>
            <w:vAlign w:val="center"/>
          </w:tcPr>
          <w:p w14:paraId="66C41CC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kern w:val="2"/>
                <w:sz w:val="21"/>
                <w:szCs w:val="21"/>
                <w:highlight w:val="none"/>
                <w:lang w:val="en-US" w:eastAsia="zh-CN" w:bidi="ar-SA"/>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4FE2E7CF">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ascii="Times New Roman" w:hAnsi="Times New Roman" w:eastAsia="仿宋" w:cs="Times New Roman"/>
                <w:szCs w:val="21"/>
              </w:rPr>
            </w:pPr>
            <w:r>
              <w:rPr>
                <w:rFonts w:hint="eastAsia" w:ascii="Times New Roman" w:hAnsi="Times New Roman" w:eastAsia="仿宋" w:cs="Times New Roman"/>
                <w:szCs w:val="21"/>
              </w:rPr>
              <w:t>助理工程师</w:t>
            </w:r>
          </w:p>
        </w:tc>
        <w:tc>
          <w:tcPr>
            <w:tcW w:w="1955" w:type="dxa"/>
            <w:tcBorders>
              <w:top w:val="single" w:color="auto" w:sz="4" w:space="0"/>
              <w:left w:val="nil"/>
              <w:bottom w:val="single" w:color="auto" w:sz="4" w:space="0"/>
              <w:right w:val="single" w:color="auto" w:sz="4" w:space="0"/>
            </w:tcBorders>
            <w:vAlign w:val="center"/>
          </w:tcPr>
          <w:p w14:paraId="29D25E8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57C8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201ED5D6">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张可</w:t>
            </w:r>
          </w:p>
        </w:tc>
        <w:tc>
          <w:tcPr>
            <w:tcW w:w="3423" w:type="dxa"/>
            <w:tcBorders>
              <w:top w:val="single" w:color="auto" w:sz="4" w:space="0"/>
              <w:left w:val="nil"/>
              <w:bottom w:val="single" w:color="auto" w:sz="4" w:space="0"/>
              <w:right w:val="single" w:color="auto" w:sz="4" w:space="0"/>
            </w:tcBorders>
            <w:vAlign w:val="center"/>
          </w:tcPr>
          <w:p w14:paraId="1CCA355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kern w:val="2"/>
                <w:sz w:val="21"/>
                <w:szCs w:val="21"/>
                <w:highlight w:val="none"/>
                <w:lang w:val="en-US" w:eastAsia="zh-CN" w:bidi="ar-SA"/>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07DF5BE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ascii="Times New Roman" w:hAnsi="Times New Roman" w:eastAsia="仿宋" w:cs="Times New Roman"/>
                <w:szCs w:val="21"/>
              </w:rPr>
            </w:pPr>
            <w:r>
              <w:rPr>
                <w:rFonts w:hint="eastAsia" w:ascii="Times New Roman" w:hAnsi="Times New Roman" w:eastAsia="仿宋" w:cs="Times New Roman"/>
                <w:szCs w:val="21"/>
              </w:rPr>
              <w:t>工程师</w:t>
            </w:r>
          </w:p>
        </w:tc>
        <w:tc>
          <w:tcPr>
            <w:tcW w:w="1955" w:type="dxa"/>
            <w:tcBorders>
              <w:top w:val="single" w:color="auto" w:sz="4" w:space="0"/>
              <w:left w:val="nil"/>
              <w:bottom w:val="single" w:color="auto" w:sz="4" w:space="0"/>
              <w:right w:val="single" w:color="auto" w:sz="4" w:space="0"/>
            </w:tcBorders>
            <w:vAlign w:val="center"/>
          </w:tcPr>
          <w:p w14:paraId="707CA78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2013C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3F5D226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韦敏壮</w:t>
            </w:r>
          </w:p>
        </w:tc>
        <w:tc>
          <w:tcPr>
            <w:tcW w:w="3423" w:type="dxa"/>
            <w:tcBorders>
              <w:top w:val="single" w:color="auto" w:sz="4" w:space="0"/>
              <w:left w:val="nil"/>
              <w:bottom w:val="single" w:color="auto" w:sz="4" w:space="0"/>
              <w:right w:val="single" w:color="auto" w:sz="4" w:space="0"/>
            </w:tcBorders>
            <w:vAlign w:val="center"/>
          </w:tcPr>
          <w:p w14:paraId="1EF96C9C">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kern w:val="2"/>
                <w:sz w:val="21"/>
                <w:szCs w:val="21"/>
                <w:highlight w:val="none"/>
                <w:lang w:val="en-US" w:eastAsia="zh-CN" w:bidi="ar-SA"/>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47A7BAC2">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Cs w:val="21"/>
                <w:lang w:val="en-US" w:eastAsia="zh-CN"/>
              </w:rPr>
            </w:pPr>
            <w:r>
              <w:rPr>
                <w:rFonts w:hint="eastAsia" w:eastAsia="仿宋" w:cs="Times New Roman"/>
                <w:szCs w:val="21"/>
                <w:lang w:val="en-US" w:eastAsia="zh-CN"/>
              </w:rPr>
              <w:t>高级工程师</w:t>
            </w:r>
          </w:p>
        </w:tc>
        <w:tc>
          <w:tcPr>
            <w:tcW w:w="1955" w:type="dxa"/>
            <w:tcBorders>
              <w:top w:val="single" w:color="auto" w:sz="4" w:space="0"/>
              <w:left w:val="nil"/>
              <w:bottom w:val="single" w:color="auto" w:sz="4" w:space="0"/>
              <w:right w:val="single" w:color="auto" w:sz="4" w:space="0"/>
            </w:tcBorders>
            <w:vAlign w:val="center"/>
          </w:tcPr>
          <w:p w14:paraId="6AC70C17">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670D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4C01B9BD">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全肖美</w:t>
            </w:r>
          </w:p>
        </w:tc>
        <w:tc>
          <w:tcPr>
            <w:tcW w:w="3423" w:type="dxa"/>
            <w:tcBorders>
              <w:top w:val="single" w:color="auto" w:sz="4" w:space="0"/>
              <w:left w:val="nil"/>
              <w:bottom w:val="single" w:color="auto" w:sz="4" w:space="0"/>
              <w:right w:val="single" w:color="auto" w:sz="4" w:space="0"/>
            </w:tcBorders>
            <w:vAlign w:val="center"/>
          </w:tcPr>
          <w:p w14:paraId="2B4456B0">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default" w:ascii="Times New Roman" w:hAnsi="Times New Roman" w:eastAsia="仿宋" w:cs="Times New Roman"/>
                <w:sz w:val="21"/>
                <w:szCs w:val="21"/>
                <w:highlight w:val="none"/>
                <w:lang w:val="zh-CN" w:eastAsia="zh-CN"/>
              </w:rPr>
              <w:t>柳州市园博园管理处</w:t>
            </w:r>
          </w:p>
        </w:tc>
        <w:tc>
          <w:tcPr>
            <w:tcW w:w="1324" w:type="dxa"/>
            <w:tcBorders>
              <w:top w:val="single" w:color="auto" w:sz="4" w:space="0"/>
              <w:left w:val="nil"/>
              <w:bottom w:val="single" w:color="auto" w:sz="4" w:space="0"/>
              <w:right w:val="single" w:color="auto" w:sz="4" w:space="0"/>
            </w:tcBorders>
            <w:vAlign w:val="center"/>
          </w:tcPr>
          <w:p w14:paraId="3376A8F4">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高级工程师</w:t>
            </w:r>
          </w:p>
        </w:tc>
        <w:tc>
          <w:tcPr>
            <w:tcW w:w="1955" w:type="dxa"/>
            <w:tcBorders>
              <w:top w:val="single" w:color="auto" w:sz="4" w:space="0"/>
              <w:left w:val="nil"/>
              <w:bottom w:val="single" w:color="auto" w:sz="4" w:space="0"/>
              <w:right w:val="single" w:color="auto" w:sz="4" w:space="0"/>
            </w:tcBorders>
            <w:vAlign w:val="center"/>
          </w:tcPr>
          <w:p w14:paraId="4A65095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7F32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1554C64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韦国敏</w:t>
            </w:r>
          </w:p>
        </w:tc>
        <w:tc>
          <w:tcPr>
            <w:tcW w:w="3423" w:type="dxa"/>
            <w:tcBorders>
              <w:top w:val="single" w:color="auto" w:sz="4" w:space="0"/>
              <w:left w:val="nil"/>
              <w:bottom w:val="single" w:color="auto" w:sz="4" w:space="0"/>
              <w:right w:val="single" w:color="auto" w:sz="4" w:space="0"/>
            </w:tcBorders>
            <w:vAlign w:val="center"/>
          </w:tcPr>
          <w:p w14:paraId="35697433">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zh-CN" w:eastAsia="zh-CN"/>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1B441F45">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sz w:val="21"/>
                <w:szCs w:val="21"/>
                <w:highlight w:val="none"/>
                <w:lang w:val="en-US" w:eastAsia="zh-CN"/>
              </w:rPr>
            </w:pPr>
            <w:r>
              <w:rPr>
                <w:rFonts w:hint="eastAsia" w:ascii="Times New Roman" w:hAnsi="Times New Roman" w:eastAsia="仿宋" w:cs="Times New Roman"/>
                <w:szCs w:val="21"/>
              </w:rPr>
              <w:t>工程师</w:t>
            </w:r>
          </w:p>
        </w:tc>
        <w:tc>
          <w:tcPr>
            <w:tcW w:w="1955" w:type="dxa"/>
            <w:tcBorders>
              <w:top w:val="single" w:color="auto" w:sz="4" w:space="0"/>
              <w:left w:val="nil"/>
              <w:bottom w:val="single" w:color="auto" w:sz="4" w:space="0"/>
              <w:right w:val="single" w:color="auto" w:sz="4" w:space="0"/>
            </w:tcBorders>
            <w:vAlign w:val="center"/>
          </w:tcPr>
          <w:p w14:paraId="2AEC6B9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eastAsia"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r w14:paraId="2E87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847" w:type="dxa"/>
            <w:tcBorders>
              <w:top w:val="single" w:color="auto" w:sz="4" w:space="0"/>
              <w:left w:val="single" w:color="auto" w:sz="4" w:space="0"/>
              <w:bottom w:val="single" w:color="auto" w:sz="4" w:space="0"/>
              <w:right w:val="single" w:color="auto" w:sz="4" w:space="0"/>
            </w:tcBorders>
            <w:vAlign w:val="center"/>
          </w:tcPr>
          <w:p w14:paraId="058484BE">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黄高风</w:t>
            </w:r>
          </w:p>
        </w:tc>
        <w:tc>
          <w:tcPr>
            <w:tcW w:w="3423" w:type="dxa"/>
            <w:tcBorders>
              <w:top w:val="single" w:color="auto" w:sz="4" w:space="0"/>
              <w:left w:val="nil"/>
              <w:bottom w:val="single" w:color="auto" w:sz="4" w:space="0"/>
              <w:right w:val="single" w:color="auto" w:sz="4" w:space="0"/>
            </w:tcBorders>
            <w:vAlign w:val="center"/>
          </w:tcPr>
          <w:p w14:paraId="166EB9E9">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kern w:val="2"/>
                <w:sz w:val="21"/>
                <w:szCs w:val="21"/>
                <w:highlight w:val="none"/>
                <w:lang w:val="en-US" w:eastAsia="zh-CN" w:bidi="ar-SA"/>
              </w:rPr>
              <w:t>南宁市人民公园</w:t>
            </w:r>
          </w:p>
        </w:tc>
        <w:tc>
          <w:tcPr>
            <w:tcW w:w="1324" w:type="dxa"/>
            <w:tcBorders>
              <w:top w:val="single" w:color="auto" w:sz="4" w:space="0"/>
              <w:left w:val="nil"/>
              <w:bottom w:val="single" w:color="auto" w:sz="4" w:space="0"/>
              <w:right w:val="single" w:color="auto" w:sz="4" w:space="0"/>
            </w:tcBorders>
            <w:vAlign w:val="center"/>
          </w:tcPr>
          <w:p w14:paraId="1DE375D1">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eastAsia="仿宋" w:cs="Times New Roman"/>
                <w:sz w:val="21"/>
                <w:szCs w:val="21"/>
                <w:highlight w:val="none"/>
                <w:lang w:val="en-US" w:eastAsia="zh-CN"/>
              </w:rPr>
            </w:pPr>
            <w:r>
              <w:rPr>
                <w:rFonts w:hint="eastAsia" w:eastAsia="仿宋" w:cs="Times New Roman"/>
                <w:sz w:val="21"/>
                <w:szCs w:val="21"/>
                <w:highlight w:val="none"/>
                <w:lang w:val="en-US" w:eastAsia="zh-CN"/>
              </w:rPr>
              <w:t>工程师</w:t>
            </w:r>
          </w:p>
        </w:tc>
        <w:tc>
          <w:tcPr>
            <w:tcW w:w="1955" w:type="dxa"/>
            <w:tcBorders>
              <w:top w:val="single" w:color="auto" w:sz="4" w:space="0"/>
              <w:left w:val="nil"/>
              <w:bottom w:val="single" w:color="auto" w:sz="4" w:space="0"/>
              <w:right w:val="single" w:color="auto" w:sz="4" w:space="0"/>
            </w:tcBorders>
            <w:vAlign w:val="center"/>
          </w:tcPr>
          <w:p w14:paraId="4A00724A">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sz w:val="21"/>
                <w:szCs w:val="21"/>
                <w:highlight w:val="none"/>
                <w:lang w:val="en-US" w:eastAsia="zh-CN"/>
              </w:rPr>
            </w:pPr>
            <w:r>
              <w:rPr>
                <w:rFonts w:hint="eastAsia" w:eastAsia="仿宋" w:cs="Times New Roman"/>
                <w:sz w:val="21"/>
                <w:szCs w:val="21"/>
                <w:highlight w:val="none"/>
                <w:lang w:val="en-US" w:eastAsia="zh-CN"/>
              </w:rPr>
              <w:t>数据收集及宣贯</w:t>
            </w:r>
          </w:p>
        </w:tc>
      </w:tr>
    </w:tbl>
    <w:p w14:paraId="3899C2D0">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二、</w:t>
      </w:r>
      <w:r>
        <w:rPr>
          <w:rFonts w:hint="eastAsia" w:eastAsia="黑体" w:cs="Times New Roman"/>
          <w:color w:val="auto"/>
          <w:sz w:val="32"/>
          <w:szCs w:val="32"/>
          <w:highlight w:val="none"/>
          <w:lang w:val="en-US" w:eastAsia="zh-CN"/>
        </w:rPr>
        <w:t>制定标准的必要性和</w:t>
      </w:r>
      <w:r>
        <w:rPr>
          <w:rFonts w:hint="default" w:ascii="Times New Roman" w:hAnsi="Times New Roman" w:eastAsia="黑体" w:cs="Times New Roman"/>
          <w:color w:val="auto"/>
          <w:sz w:val="32"/>
          <w:szCs w:val="32"/>
          <w:highlight w:val="none"/>
          <w:lang w:val="zh-CN"/>
        </w:rPr>
        <w:t>意义</w:t>
      </w:r>
    </w:p>
    <w:p w14:paraId="764CC04F">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eastAsia="zh-CN" w:bidi="ar-SA"/>
        </w:rPr>
      </w:pPr>
      <w:r>
        <w:rPr>
          <w:rFonts w:hint="default" w:ascii="Times New Roman" w:hAnsi="Times New Roman" w:eastAsia="仿宋" w:cs="Times New Roman"/>
          <w:kern w:val="0"/>
          <w:sz w:val="28"/>
          <w:szCs w:val="28"/>
          <w:highlight w:val="none"/>
          <w:lang w:val="zh-CN" w:eastAsia="zh-CN" w:bidi="ar-SA"/>
        </w:rPr>
        <w:t>2022年11月16日，国家林业和草原局、农业农村部联合印发《关于推进花卉业高质量发展的指导意见”（林生发〔2022〕114号）》提出了要“完善我国花卉标准体系，推进花卉标准升级，着力完善花卉产品质量检测标；大力支持花卉种子、种苗、种球产业发展，壮大花卉产业基础，培育一批花卉生产龙头企业，建设一批花卉标准化生产基地”的总要求；《广西壮族自治区国民经济和社会发展第十四个五年规划和2035年远景目标纲要》提出了“壮大花卉产业，培育 “桂派”花卉品牌，促进园林绿化提质增效、建设公园城市、园林城市和海绵城市”的总体布局规划，《广西花卉产业规划发展“十四五”规划》设定了“推动花卉生产标准化，花卉生产面积10万公顷、花卉全产业链综合产值500亿元、花卉新增标准制定15项和培植一批花卉标准化生产示范基地”的总目标，因此制定一批具有地方特色的花卉苗木生产技术标准是促进广西花卉产业“十四五“规划目标达成的关键环节，符合广西优势特色农业和国家林草局的总体规划和要求。</w:t>
      </w:r>
    </w:p>
    <w:p w14:paraId="51AFAE5D">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eastAsia="zh-CN" w:bidi="ar-SA"/>
        </w:rPr>
      </w:pPr>
      <w:r>
        <w:rPr>
          <w:rFonts w:hint="default" w:ascii="Times New Roman" w:hAnsi="Times New Roman" w:eastAsia="仿宋" w:cs="Times New Roman"/>
          <w:kern w:val="0"/>
          <w:sz w:val="28"/>
          <w:szCs w:val="28"/>
          <w:highlight w:val="none"/>
          <w:lang w:val="zh-CN" w:eastAsia="zh-CN" w:bidi="ar-SA"/>
        </w:rPr>
        <w:t>王莲（</w:t>
      </w:r>
      <w:r>
        <w:rPr>
          <w:rFonts w:hint="default" w:ascii="Times New Roman" w:hAnsi="Times New Roman" w:eastAsia="仿宋" w:cs="Times New Roman"/>
          <w:i/>
          <w:iCs/>
          <w:kern w:val="0"/>
          <w:sz w:val="28"/>
          <w:szCs w:val="28"/>
          <w:highlight w:val="none"/>
          <w:lang w:val="zh-CN" w:eastAsia="zh-CN" w:bidi="ar-SA"/>
        </w:rPr>
        <w:t>Victoria Lindl.</w:t>
      </w:r>
      <w:r>
        <w:rPr>
          <w:rFonts w:hint="default" w:ascii="Times New Roman" w:hAnsi="Times New Roman" w:eastAsia="仿宋" w:cs="Times New Roman"/>
          <w:kern w:val="0"/>
          <w:sz w:val="28"/>
          <w:szCs w:val="28"/>
          <w:highlight w:val="none"/>
          <w:lang w:val="zh-CN" w:eastAsia="zh-CN" w:bidi="ar-SA"/>
        </w:rPr>
        <w:t>）是睡莲科王莲属植物统称。多年生或一年生大型浮叶草本植物。拥有巨型奇特似盘的叶片，浮于水面，具有世界上水生植物中最大的叶片，直径可达3米以上，叶面光滑，叶缘上卷，犹如一只只浮在水面上的翠绿色大玉盘，十分壮观。其叶脉与一般植物的叶脉结构不同，成肋条状，似伞架，所以具有很大的浮力，最多可承受六七十千克重的物体而不下沉。夏季开花，单生，浮于水面，初为白色，次日变为深红而枯萎。需在高温、高湿、阳光充足的环境下生长发育，在广西表现为一年生。</w:t>
      </w:r>
    </w:p>
    <w:p w14:paraId="7021DC6D">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eastAsia="zh-CN" w:bidi="ar-SA"/>
        </w:rPr>
      </w:pPr>
      <w:r>
        <w:rPr>
          <w:rFonts w:hint="default" w:ascii="Times New Roman" w:hAnsi="Times New Roman" w:eastAsia="仿宋" w:cs="Times New Roman"/>
          <w:kern w:val="0"/>
          <w:sz w:val="28"/>
          <w:szCs w:val="28"/>
          <w:highlight w:val="none"/>
          <w:lang w:val="zh-CN" w:eastAsia="zh-CN" w:bidi="ar-SA"/>
        </w:rPr>
        <w:t>近年广西引进王莲后在南宁市人民公园、青秀山、各市园博园等地重要旅游景区推广栽培，生长期的“坐王莲”活动深得广大游客喜爱，近三年来约有游客50万人次，依然成为夏季旅游的网红打卡点，多家媒体单位纷纷报道，作为水生花卉的重要品类在区内的推广优势凸显，成为园林绿化的新宠，2022年被《广西花卉产业规划发展“十四五”规划》列为了重点发展的水生花卉之一。</w:t>
      </w:r>
    </w:p>
    <w:p w14:paraId="742FD72E">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eastAsia="zh-CN" w:bidi="ar-SA"/>
        </w:rPr>
      </w:pPr>
      <w:r>
        <w:rPr>
          <w:rFonts w:hint="default" w:ascii="Times New Roman" w:hAnsi="Times New Roman" w:eastAsia="仿宋" w:cs="Times New Roman"/>
          <w:kern w:val="0"/>
          <w:sz w:val="28"/>
          <w:szCs w:val="28"/>
          <w:highlight w:val="none"/>
          <w:lang w:val="zh-CN" w:eastAsia="zh-CN" w:bidi="ar-SA"/>
        </w:rPr>
        <w:t>根据前期调研发现，王莲在广西主要应用于亚热带气候明显的桂中、桂南地区的各大景区。目前广西主要生产或引进王莲种苗进行景观展示，共生产有王莲种子1000粒，繁育种苗1000株。在景观展示中主要采用王莲大苗。在花卉市场，王莲价格与其展幅大小相关，展幅越大价格越高，据调查，展幅50cm左右的王莲幼苗价格在250~300元不等，王莲成苗价格约在500元左右，而王莲在广西属一年生，因此须进行每年育苗才能满足区内景区应用，区内每年自产自销的王莲种苗约在1000株。王莲的栽培条件要求较高，区内目前对王莲的育苗主要存在种子采收不规范、育苗栽培措施不当，导致王莲成苗率低，死亡率高，因此亟需对王莲的栽培技术进行规范以保障王莲景观优势的发挥，促进特色旅游和园林绿化苗木生产和城市绿化建设的提质增效。</w:t>
      </w:r>
    </w:p>
    <w:p w14:paraId="170F8633">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eastAsia="zh-CN" w:bidi="ar-SA"/>
        </w:rPr>
      </w:pPr>
      <w:r>
        <w:rPr>
          <w:rFonts w:hint="default" w:ascii="Times New Roman" w:hAnsi="Times New Roman" w:eastAsia="仿宋" w:cs="Times New Roman"/>
          <w:kern w:val="0"/>
          <w:sz w:val="28"/>
          <w:szCs w:val="28"/>
          <w:highlight w:val="none"/>
          <w:lang w:val="zh-CN" w:eastAsia="zh-CN" w:bidi="ar-SA"/>
        </w:rPr>
        <w:t>本标准</w:t>
      </w:r>
      <w:r>
        <w:rPr>
          <w:rFonts w:hint="eastAsia" w:ascii="Times New Roman" w:hAnsi="Times New Roman" w:eastAsia="仿宋" w:cs="Times New Roman"/>
          <w:kern w:val="0"/>
          <w:sz w:val="28"/>
          <w:szCs w:val="28"/>
          <w:highlight w:val="none"/>
          <w:lang w:val="en-US" w:eastAsia="zh-CN" w:bidi="ar-SA"/>
        </w:rPr>
        <w:t>起草</w:t>
      </w:r>
      <w:r>
        <w:rPr>
          <w:rFonts w:hint="default" w:ascii="Times New Roman" w:hAnsi="Times New Roman" w:eastAsia="仿宋" w:cs="Times New Roman"/>
          <w:kern w:val="0"/>
          <w:sz w:val="28"/>
          <w:szCs w:val="28"/>
          <w:highlight w:val="none"/>
          <w:lang w:val="zh-CN" w:eastAsia="zh-CN" w:bidi="ar-SA"/>
        </w:rPr>
        <w:t>单位</w:t>
      </w:r>
      <w:r>
        <w:rPr>
          <w:rFonts w:hint="eastAsia" w:eastAsia="仿宋" w:cs="Times New Roman"/>
          <w:kern w:val="0"/>
          <w:sz w:val="28"/>
          <w:szCs w:val="28"/>
          <w:highlight w:val="none"/>
          <w:lang w:val="en-US" w:eastAsia="zh-CN" w:bidi="ar-SA"/>
        </w:rPr>
        <w:t>依托</w:t>
      </w:r>
      <w:r>
        <w:rPr>
          <w:rFonts w:hint="default" w:ascii="Times New Roman" w:hAnsi="Times New Roman" w:eastAsia="仿宋" w:cs="Times New Roman"/>
          <w:kern w:val="0"/>
          <w:sz w:val="28"/>
          <w:szCs w:val="28"/>
          <w:highlight w:val="none"/>
          <w:lang w:val="zh-CN" w:eastAsia="zh-CN" w:bidi="ar-SA"/>
        </w:rPr>
        <w:t>“南宁工匠”创新工作室、樊燕技能大师工作室项目（25万）及本标准起草主持人主持的《亚热带花卉育种与创新利用研究》（桂农科2021YT152，50万）陆续</w:t>
      </w:r>
      <w:r>
        <w:rPr>
          <w:rFonts w:hint="default" w:ascii="Times New Roman" w:hAnsi="Times New Roman" w:eastAsia="仿宋" w:cs="Times New Roman"/>
          <w:kern w:val="0"/>
          <w:sz w:val="28"/>
          <w:szCs w:val="28"/>
          <w:highlight w:val="none"/>
          <w:lang w:val="en-US" w:eastAsia="zh-CN" w:bidi="ar-SA"/>
        </w:rPr>
        <w:t>开展了</w:t>
      </w:r>
      <w:r>
        <w:rPr>
          <w:rFonts w:hint="eastAsia" w:eastAsia="仿宋" w:cs="Times New Roman"/>
          <w:kern w:val="0"/>
          <w:sz w:val="28"/>
          <w:szCs w:val="28"/>
          <w:highlight w:val="none"/>
          <w:lang w:val="en-US" w:eastAsia="zh-CN" w:bidi="ar-SA"/>
        </w:rPr>
        <w:t>王莲栽培种子采收、种子催芽、幼苗培育</w:t>
      </w:r>
      <w:r>
        <w:rPr>
          <w:rFonts w:hint="default" w:ascii="Times New Roman" w:hAnsi="Times New Roman" w:eastAsia="仿宋" w:cs="Times New Roman"/>
          <w:kern w:val="0"/>
          <w:sz w:val="28"/>
          <w:szCs w:val="28"/>
          <w:highlight w:val="none"/>
          <w:lang w:val="en-US" w:eastAsia="zh-CN" w:bidi="ar-SA"/>
        </w:rPr>
        <w:t>、</w:t>
      </w:r>
      <w:r>
        <w:rPr>
          <w:rFonts w:hint="eastAsia" w:eastAsia="仿宋" w:cs="Times New Roman"/>
          <w:kern w:val="0"/>
          <w:sz w:val="28"/>
          <w:szCs w:val="28"/>
          <w:highlight w:val="none"/>
          <w:lang w:val="en-US" w:eastAsia="zh-CN" w:bidi="ar-SA"/>
        </w:rPr>
        <w:t>大苗栽培管护</w:t>
      </w:r>
      <w:r>
        <w:rPr>
          <w:rFonts w:hint="default" w:ascii="Times New Roman" w:hAnsi="Times New Roman" w:eastAsia="仿宋" w:cs="Times New Roman"/>
          <w:kern w:val="0"/>
          <w:sz w:val="28"/>
          <w:szCs w:val="28"/>
          <w:highlight w:val="none"/>
          <w:lang w:val="en-US" w:eastAsia="zh-CN" w:bidi="ar-SA"/>
        </w:rPr>
        <w:t>等研究，均为《</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zh-CN" w:eastAsia="zh-CN" w:bidi="ar-SA"/>
        </w:rPr>
        <w:t>技术规程</w:t>
      </w:r>
      <w:r>
        <w:rPr>
          <w:rFonts w:hint="default" w:ascii="Times New Roman" w:hAnsi="Times New Roman" w:eastAsia="仿宋" w:cs="Times New Roman"/>
          <w:kern w:val="0"/>
          <w:sz w:val="28"/>
          <w:szCs w:val="28"/>
          <w:highlight w:val="none"/>
          <w:lang w:val="en-US" w:eastAsia="zh-CN" w:bidi="ar-SA"/>
        </w:rPr>
        <w:t>》的制定奠定了基础。</w:t>
      </w:r>
    </w:p>
    <w:p w14:paraId="34975916">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rPr>
      </w:pPr>
      <w:r>
        <w:rPr>
          <w:rFonts w:hint="default" w:ascii="Times New Roman" w:hAnsi="Times New Roman" w:eastAsia="仿宋_GB2312" w:cs="Times New Roman"/>
          <w:sz w:val="28"/>
          <w:szCs w:val="28"/>
          <w:highlight w:val="none"/>
        </w:rPr>
        <w:t>基于以上阐述，本项目组提出申请编制</w:t>
      </w:r>
      <w:r>
        <w:rPr>
          <w:rFonts w:hint="eastAsia" w:eastAsia="仿宋_GB2312" w:cs="Times New Roman"/>
          <w:sz w:val="28"/>
          <w:szCs w:val="28"/>
          <w:highlight w:val="none"/>
          <w:lang w:val="en-US" w:eastAsia="zh-CN"/>
        </w:rPr>
        <w:t>团体</w:t>
      </w:r>
      <w:r>
        <w:rPr>
          <w:rFonts w:hint="default" w:ascii="Times New Roman" w:hAnsi="Times New Roman" w:eastAsia="仿宋_GB2312" w:cs="Times New Roman"/>
          <w:sz w:val="28"/>
          <w:szCs w:val="28"/>
          <w:highlight w:val="none"/>
        </w:rPr>
        <w:t>标准《</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zh-CN" w:eastAsia="zh-CN" w:bidi="ar-SA"/>
        </w:rPr>
        <w:t>技术规程</w:t>
      </w:r>
      <w:r>
        <w:rPr>
          <w:rFonts w:hint="default" w:ascii="Times New Roman" w:hAnsi="Times New Roman" w:eastAsia="仿宋_GB2312" w:cs="Times New Roman"/>
          <w:sz w:val="28"/>
          <w:szCs w:val="28"/>
          <w:highlight w:val="none"/>
        </w:rPr>
        <w:t>》，并承诺基于项目研究结果，结合严密的科学论证和相关文献资料参考，按质按时地完成编制任务。</w:t>
      </w:r>
    </w:p>
    <w:p w14:paraId="1A78216D">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lang w:val="zh-CN"/>
        </w:rPr>
      </w:pPr>
      <w:r>
        <w:rPr>
          <w:rFonts w:hint="default" w:ascii="Times New Roman" w:hAnsi="Times New Roman" w:eastAsia="黑体" w:cs="Times New Roman"/>
          <w:color w:val="auto"/>
          <w:sz w:val="32"/>
          <w:szCs w:val="32"/>
          <w:highlight w:val="none"/>
          <w:lang w:val="zh-CN"/>
        </w:rPr>
        <w:t>三、</w:t>
      </w:r>
      <w:r>
        <w:rPr>
          <w:rFonts w:hint="eastAsia" w:eastAsia="黑体" w:cs="Times New Roman"/>
          <w:color w:val="auto"/>
          <w:sz w:val="32"/>
          <w:szCs w:val="32"/>
          <w:highlight w:val="none"/>
          <w:lang w:val="en-US" w:eastAsia="zh-CN"/>
        </w:rPr>
        <w:t>主要起草</w:t>
      </w:r>
      <w:r>
        <w:rPr>
          <w:rFonts w:hint="default" w:ascii="Times New Roman" w:hAnsi="Times New Roman" w:eastAsia="黑体" w:cs="Times New Roman"/>
          <w:color w:val="auto"/>
          <w:sz w:val="32"/>
          <w:szCs w:val="32"/>
          <w:highlight w:val="none"/>
          <w:lang w:val="zh-CN"/>
        </w:rPr>
        <w:t>过程</w:t>
      </w:r>
    </w:p>
    <w:p w14:paraId="6A990E23">
      <w:pPr>
        <w:keepNext w:val="0"/>
        <w:keepLines w:val="0"/>
        <w:pageBreakBefore w:val="0"/>
        <w:kinsoku/>
        <w:wordWrap/>
        <w:overflowPunct/>
        <w:topLinePunct w:val="0"/>
        <w:bidi w:val="0"/>
        <w:adjustRightInd w:val="0"/>
        <w:snapToGrid w:val="0"/>
        <w:spacing w:line="440" w:lineRule="exact"/>
        <w:ind w:firstLine="562" w:firstLineChars="200"/>
        <w:textAlignment w:val="auto"/>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lang w:val="zh-CN"/>
        </w:rPr>
        <w:t>（一）</w:t>
      </w:r>
      <w:r>
        <w:rPr>
          <w:rFonts w:hint="default" w:ascii="Times New Roman" w:hAnsi="Times New Roman" w:eastAsia="仿宋_GB2312" w:cs="Times New Roman"/>
          <w:b/>
          <w:sz w:val="28"/>
          <w:szCs w:val="28"/>
          <w:highlight w:val="none"/>
        </w:rPr>
        <w:t>成立标准编制工作组</w:t>
      </w:r>
    </w:p>
    <w:p w14:paraId="3EA39580">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 w:cs="Times New Roman"/>
          <w:kern w:val="0"/>
          <w:sz w:val="28"/>
          <w:szCs w:val="28"/>
          <w:highlight w:val="none"/>
          <w:lang w:val="zh-CN"/>
        </w:rPr>
      </w:pPr>
      <w:r>
        <w:rPr>
          <w:rFonts w:hint="eastAsia" w:eastAsia="仿宋" w:cs="Times New Roman"/>
          <w:kern w:val="0"/>
          <w:sz w:val="28"/>
          <w:szCs w:val="28"/>
          <w:highlight w:val="none"/>
          <w:lang w:val="en-US" w:eastAsia="zh-CN"/>
        </w:rPr>
        <w:t>团体</w:t>
      </w:r>
      <w:r>
        <w:rPr>
          <w:rFonts w:hint="default" w:ascii="Times New Roman" w:hAnsi="Times New Roman" w:eastAsia="仿宋" w:cs="Times New Roman"/>
          <w:kern w:val="0"/>
          <w:sz w:val="28"/>
          <w:szCs w:val="28"/>
          <w:highlight w:val="none"/>
          <w:lang w:val="en-US" w:eastAsia="zh-CN"/>
        </w:rPr>
        <w:t>标准《</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zh-CN" w:eastAsia="zh-CN" w:bidi="ar-SA"/>
        </w:rPr>
        <w:t>技术规程</w:t>
      </w:r>
      <w:r>
        <w:rPr>
          <w:rFonts w:hint="default" w:ascii="Times New Roman" w:hAnsi="Times New Roman" w:eastAsia="仿宋" w:cs="Times New Roman"/>
          <w:kern w:val="0"/>
          <w:sz w:val="28"/>
          <w:szCs w:val="28"/>
          <w:highlight w:val="none"/>
          <w:lang w:val="en-US" w:eastAsia="zh-CN"/>
        </w:rPr>
        <w:t>》项目任务下达后，</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default" w:ascii="Times New Roman" w:hAnsi="Times New Roman" w:eastAsia="仿宋" w:cs="Times New Roman"/>
          <w:kern w:val="0"/>
          <w:sz w:val="28"/>
          <w:szCs w:val="28"/>
          <w:highlight w:val="none"/>
          <w:lang w:val="en-US" w:eastAsia="zh-CN"/>
        </w:rPr>
        <w:t>成立了标准编制工作组，制定了标准编写方案，明确任务职责，确定工作技术路线，开展标准编制工作，具体标准编制工作由</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default" w:ascii="Times New Roman" w:hAnsi="Times New Roman" w:eastAsia="仿宋" w:cs="Times New Roman"/>
          <w:kern w:val="0"/>
          <w:sz w:val="28"/>
          <w:szCs w:val="28"/>
          <w:highlight w:val="none"/>
          <w:lang w:val="en-US" w:eastAsia="zh-CN"/>
        </w:rPr>
        <w:t>相关人员配合。</w:t>
      </w:r>
    </w:p>
    <w:p w14:paraId="7AF56808">
      <w:pPr>
        <w:keepNext w:val="0"/>
        <w:keepLines w:val="0"/>
        <w:pageBreakBefore w:val="0"/>
        <w:numPr>
          <w:ilvl w:val="0"/>
          <w:numId w:val="4"/>
        </w:numPr>
        <w:kinsoku/>
        <w:wordWrap/>
        <w:overflowPunct/>
        <w:topLinePunct w:val="0"/>
        <w:bidi w:val="0"/>
        <w:adjustRightInd w:val="0"/>
        <w:snapToGrid w:val="0"/>
        <w:spacing w:line="440" w:lineRule="exact"/>
        <w:ind w:firstLine="562" w:firstLineChars="200"/>
        <w:textAlignment w:val="auto"/>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收集整理文献资料</w:t>
      </w:r>
    </w:p>
    <w:p w14:paraId="601A908C">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标准编制工作组收集了国内有关</w:t>
      </w:r>
      <w:r>
        <w:rPr>
          <w:rFonts w:hint="eastAsia" w:eastAsia="仿宋" w:cs="Times New Roman"/>
          <w:kern w:val="0"/>
          <w:sz w:val="28"/>
          <w:szCs w:val="28"/>
          <w:highlight w:val="none"/>
          <w:lang w:val="en-US" w:eastAsia="zh-CN" w:bidi="ar-SA"/>
        </w:rPr>
        <w:t>王莲栽培</w:t>
      </w:r>
      <w:r>
        <w:rPr>
          <w:rFonts w:hint="eastAsia" w:eastAsia="仿宋_GB2312" w:cs="Times New Roman"/>
          <w:sz w:val="28"/>
          <w:szCs w:val="28"/>
          <w:highlight w:val="none"/>
          <w:lang w:val="en-US" w:eastAsia="zh-CN"/>
        </w:rPr>
        <w:t>技术</w:t>
      </w:r>
      <w:r>
        <w:rPr>
          <w:rFonts w:hint="default" w:ascii="Times New Roman" w:hAnsi="Times New Roman" w:eastAsia="仿宋_GB2312" w:cs="Times New Roman"/>
          <w:sz w:val="28"/>
          <w:szCs w:val="28"/>
          <w:highlight w:val="none"/>
        </w:rPr>
        <w:t>相关文献资料</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highlight w:val="none"/>
        </w:rPr>
        <w:t>主要有：</w:t>
      </w:r>
    </w:p>
    <w:p w14:paraId="67500C15">
      <w:pPr>
        <w:pStyle w:val="10"/>
        <w:keepNext w:val="0"/>
        <w:keepLines w:val="0"/>
        <w:pageBreakBefore w:val="0"/>
        <w:numPr>
          <w:ilvl w:val="0"/>
          <w:numId w:val="0"/>
        </w:numPr>
        <w:kinsoku/>
        <w:wordWrap/>
        <w:overflowPunct/>
        <w:topLinePunct w:val="0"/>
        <w:bidi w:val="0"/>
        <w:adjustRightInd w:val="0"/>
        <w:snapToGrid w:val="0"/>
        <w:spacing w:before="0" w:beforeLines="0" w:after="0" w:afterLines="0" w:line="440" w:lineRule="exact"/>
        <w:ind w:leftChars="200"/>
        <w:textAlignment w:val="auto"/>
        <w:rPr>
          <w:rFonts w:hint="eastAsia" w:ascii="Times New Roman" w:hAnsi="Times New Roman" w:eastAsia="仿宋_GB2312" w:cs="Times New Roman"/>
          <w:kern w:val="2"/>
          <w:sz w:val="28"/>
          <w:szCs w:val="28"/>
          <w:highlight w:val="none"/>
          <w:lang w:val="en-US" w:eastAsia="zh-CN" w:bidi="ar-SA"/>
        </w:rPr>
      </w:pPr>
      <w:r>
        <w:rPr>
          <w:rFonts w:hint="eastAsia" w:ascii="Times New Roman" w:hAnsi="Times New Roman" w:eastAsia="仿宋_GB2312" w:cs="Times New Roman"/>
          <w:kern w:val="2"/>
          <w:sz w:val="28"/>
          <w:szCs w:val="28"/>
          <w:highlight w:val="none"/>
          <w:lang w:val="en-US" w:eastAsia="zh-CN" w:bidi="ar-SA"/>
        </w:rPr>
        <w:t>GB 15618（所有部分）  土壤环境质量 农用地土壤污染风险管控标准（试行）</w:t>
      </w:r>
    </w:p>
    <w:p w14:paraId="456AE33E">
      <w:pPr>
        <w:pStyle w:val="10"/>
        <w:keepNext w:val="0"/>
        <w:keepLines w:val="0"/>
        <w:pageBreakBefore w:val="0"/>
        <w:numPr>
          <w:ilvl w:val="0"/>
          <w:numId w:val="0"/>
        </w:numPr>
        <w:kinsoku/>
        <w:wordWrap/>
        <w:overflowPunct/>
        <w:topLinePunct w:val="0"/>
        <w:bidi w:val="0"/>
        <w:adjustRightInd w:val="0"/>
        <w:snapToGrid w:val="0"/>
        <w:spacing w:before="0" w:beforeLines="0" w:after="0" w:afterLines="0" w:line="440" w:lineRule="exact"/>
        <w:ind w:leftChars="200"/>
        <w:textAlignment w:val="auto"/>
        <w:rPr>
          <w:rFonts w:hint="eastAsia" w:ascii="Times New Roman" w:hAnsi="Times New Roman" w:eastAsia="仿宋_GB2312" w:cs="Times New Roman"/>
          <w:kern w:val="2"/>
          <w:sz w:val="28"/>
          <w:szCs w:val="28"/>
          <w:highlight w:val="none"/>
          <w:lang w:val="en-US" w:eastAsia="zh-CN" w:bidi="ar-SA"/>
        </w:rPr>
      </w:pPr>
      <w:r>
        <w:rPr>
          <w:rFonts w:hint="eastAsia" w:ascii="Times New Roman" w:hAnsi="Times New Roman" w:eastAsia="仿宋_GB2312" w:cs="Times New Roman"/>
          <w:kern w:val="2"/>
          <w:sz w:val="28"/>
          <w:szCs w:val="28"/>
          <w:highlight w:val="none"/>
          <w:lang w:val="en-US" w:eastAsia="zh-CN" w:bidi="ar-SA"/>
        </w:rPr>
        <w:t>GB 5084  农田灌溉水质量标准</w:t>
      </w:r>
    </w:p>
    <w:p w14:paraId="59E6450C">
      <w:pPr>
        <w:pStyle w:val="10"/>
        <w:keepNext w:val="0"/>
        <w:keepLines w:val="0"/>
        <w:pageBreakBefore w:val="0"/>
        <w:numPr>
          <w:ilvl w:val="0"/>
          <w:numId w:val="0"/>
        </w:numPr>
        <w:kinsoku/>
        <w:wordWrap/>
        <w:overflowPunct/>
        <w:topLinePunct w:val="0"/>
        <w:bidi w:val="0"/>
        <w:adjustRightInd w:val="0"/>
        <w:snapToGrid w:val="0"/>
        <w:spacing w:before="0" w:beforeLines="0" w:after="0" w:afterLines="0" w:line="440" w:lineRule="exact"/>
        <w:ind w:leftChars="200"/>
        <w:textAlignment w:val="auto"/>
        <w:rPr>
          <w:rFonts w:hint="eastAsia" w:ascii="Times New Roman" w:hAnsi="Times New Roman" w:eastAsia="仿宋_GB2312" w:cs="Times New Roman"/>
          <w:kern w:val="2"/>
          <w:sz w:val="28"/>
          <w:szCs w:val="28"/>
          <w:highlight w:val="none"/>
          <w:lang w:val="en-US" w:eastAsia="zh-CN" w:bidi="ar-SA"/>
        </w:rPr>
      </w:pPr>
      <w:r>
        <w:rPr>
          <w:rFonts w:hint="eastAsia" w:ascii="Times New Roman" w:hAnsi="Times New Roman" w:eastAsia="仿宋_GB2312" w:cs="Times New Roman"/>
          <w:kern w:val="2"/>
          <w:sz w:val="28"/>
          <w:szCs w:val="28"/>
          <w:highlight w:val="none"/>
          <w:lang w:val="en-US" w:eastAsia="zh-CN" w:bidi="ar-SA"/>
        </w:rPr>
        <w:t>GB/T 8321（所有部分）  农药合理使用准则</w:t>
      </w:r>
    </w:p>
    <w:p w14:paraId="3F9F5EE7">
      <w:pPr>
        <w:pStyle w:val="10"/>
        <w:keepNext w:val="0"/>
        <w:keepLines w:val="0"/>
        <w:pageBreakBefore w:val="0"/>
        <w:numPr>
          <w:ilvl w:val="0"/>
          <w:numId w:val="0"/>
        </w:numPr>
        <w:kinsoku/>
        <w:wordWrap/>
        <w:overflowPunct/>
        <w:topLinePunct w:val="0"/>
        <w:bidi w:val="0"/>
        <w:adjustRightInd w:val="0"/>
        <w:snapToGrid w:val="0"/>
        <w:spacing w:before="0" w:beforeLines="0" w:after="0" w:afterLines="0" w:line="440" w:lineRule="exact"/>
        <w:ind w:leftChars="200"/>
        <w:textAlignment w:val="auto"/>
        <w:rPr>
          <w:rFonts w:hint="eastAsia" w:ascii="Times New Roman" w:hAnsi="Times New Roman" w:eastAsia="仿宋_GB2312" w:cs="Times New Roman"/>
          <w:kern w:val="2"/>
          <w:sz w:val="28"/>
          <w:szCs w:val="28"/>
          <w:highlight w:val="none"/>
          <w:lang w:val="en-US" w:eastAsia="zh-CN" w:bidi="ar-SA"/>
        </w:rPr>
      </w:pPr>
      <w:r>
        <w:rPr>
          <w:rFonts w:hint="eastAsia" w:ascii="Times New Roman" w:hAnsi="Times New Roman" w:eastAsia="仿宋_GB2312" w:cs="Times New Roman"/>
          <w:kern w:val="2"/>
          <w:sz w:val="28"/>
          <w:szCs w:val="28"/>
          <w:highlight w:val="none"/>
          <w:lang w:val="en-US" w:eastAsia="zh-CN" w:bidi="ar-SA"/>
        </w:rPr>
        <w:t xml:space="preserve">NY/T 496  肥料合理使用准则 通则 </w:t>
      </w:r>
    </w:p>
    <w:p w14:paraId="30D90586">
      <w:pPr>
        <w:pStyle w:val="10"/>
        <w:keepNext w:val="0"/>
        <w:keepLines w:val="0"/>
        <w:pageBreakBefore w:val="0"/>
        <w:numPr>
          <w:ilvl w:val="0"/>
          <w:numId w:val="4"/>
        </w:numPr>
        <w:kinsoku/>
        <w:wordWrap/>
        <w:overflowPunct/>
        <w:topLinePunct w:val="0"/>
        <w:bidi w:val="0"/>
        <w:adjustRightInd w:val="0"/>
        <w:snapToGrid w:val="0"/>
        <w:spacing w:before="0" w:beforeLines="0" w:after="0" w:afterLines="0" w:line="440" w:lineRule="exact"/>
        <w:ind w:left="0" w:leftChars="0" w:firstLine="562" w:firstLineChars="200"/>
        <w:textAlignment w:val="auto"/>
        <w:rPr>
          <w:rFonts w:hint="eastAsia" w:ascii="仿宋_GB2312" w:hAnsi="仿宋_GB2312" w:eastAsia="仿宋_GB2312" w:cs="仿宋_GB2312"/>
          <w:b/>
          <w:sz w:val="28"/>
          <w:szCs w:val="28"/>
          <w:highlight w:val="none"/>
        </w:rPr>
      </w:pPr>
      <w:r>
        <w:rPr>
          <w:rFonts w:hint="eastAsia" w:ascii="仿宋_GB2312" w:hAnsi="仿宋_GB2312" w:eastAsia="仿宋_GB2312" w:cs="仿宋_GB2312"/>
          <w:b/>
          <w:sz w:val="28"/>
          <w:szCs w:val="28"/>
          <w:highlight w:val="none"/>
        </w:rPr>
        <w:t>研讨确定标准主体内容</w:t>
      </w:r>
    </w:p>
    <w:p w14:paraId="7FE858C7">
      <w:pPr>
        <w:pStyle w:val="10"/>
        <w:keepNext w:val="0"/>
        <w:keepLines w:val="0"/>
        <w:pageBreakBefore w:val="0"/>
        <w:widowControl/>
        <w:numPr>
          <w:ilvl w:val="0"/>
          <w:numId w:val="0"/>
        </w:numPr>
        <w:kinsoku/>
        <w:wordWrap/>
        <w:overflowPunct/>
        <w:topLinePunct w:val="0"/>
        <w:autoSpaceDE/>
        <w:autoSpaceDN/>
        <w:bidi w:val="0"/>
        <w:adjustRightInd w:val="0"/>
        <w:snapToGrid w:val="0"/>
        <w:spacing w:before="0" w:beforeLines="0" w:after="0" w:afterLines="0" w:line="440" w:lineRule="exact"/>
        <w:ind w:firstLine="560" w:firstLineChars="200"/>
        <w:textAlignment w:val="auto"/>
        <w:outlineLvl w:val="9"/>
        <w:rPr>
          <w:rFonts w:hint="default" w:ascii="Times New Roman" w:hAnsi="Times New Roman" w:eastAsia="仿宋" w:cs="Times New Roman"/>
          <w:kern w:val="0"/>
          <w:sz w:val="28"/>
          <w:szCs w:val="28"/>
          <w:highlight w:val="none"/>
          <w:lang w:val="en-US" w:eastAsia="zh-CN" w:bidi="ar-SA"/>
        </w:rPr>
      </w:pPr>
      <w:r>
        <w:rPr>
          <w:rFonts w:hint="default" w:ascii="Times New Roman" w:hAnsi="Times New Roman" w:eastAsia="仿宋" w:cs="Times New Roman"/>
          <w:kern w:val="0"/>
          <w:sz w:val="28"/>
          <w:szCs w:val="28"/>
          <w:highlight w:val="none"/>
          <w:lang w:val="en-US" w:eastAsia="zh-CN" w:bidi="ar-SA"/>
        </w:rPr>
        <w:t>标准编制工作组在对收集的资料进行整理研究之后，20</w:t>
      </w:r>
      <w:r>
        <w:rPr>
          <w:rFonts w:hint="eastAsia" w:ascii="Times New Roman" w:eastAsia="仿宋" w:cs="Times New Roman"/>
          <w:kern w:val="0"/>
          <w:sz w:val="28"/>
          <w:szCs w:val="28"/>
          <w:highlight w:val="none"/>
          <w:lang w:val="en-US" w:eastAsia="zh-CN" w:bidi="ar-SA"/>
        </w:rPr>
        <w:t>23</w:t>
      </w:r>
      <w:r>
        <w:rPr>
          <w:rFonts w:hint="default" w:ascii="Times New Roman" w:hAnsi="Times New Roman" w:eastAsia="仿宋" w:cs="Times New Roman"/>
          <w:kern w:val="0"/>
          <w:sz w:val="28"/>
          <w:szCs w:val="28"/>
          <w:highlight w:val="none"/>
          <w:lang w:val="en-US" w:eastAsia="zh-CN" w:bidi="ar-SA"/>
        </w:rPr>
        <w:t>年</w:t>
      </w:r>
      <w:r>
        <w:rPr>
          <w:rFonts w:hint="eastAsia" w:ascii="Times New Roman" w:eastAsia="仿宋" w:cs="Times New Roman"/>
          <w:kern w:val="0"/>
          <w:sz w:val="28"/>
          <w:szCs w:val="28"/>
          <w:highlight w:val="none"/>
          <w:lang w:val="en-US" w:eastAsia="zh-CN" w:bidi="ar-SA"/>
        </w:rPr>
        <w:t>6</w:t>
      </w:r>
      <w:r>
        <w:rPr>
          <w:rFonts w:hint="default" w:ascii="Times New Roman" w:hAnsi="Times New Roman" w:eastAsia="仿宋" w:cs="Times New Roman"/>
          <w:kern w:val="0"/>
          <w:sz w:val="28"/>
          <w:szCs w:val="28"/>
          <w:highlight w:val="none"/>
          <w:lang w:val="en-US" w:eastAsia="zh-CN" w:bidi="ar-SA"/>
        </w:rPr>
        <w:t>月，标准编制工作组召开了标准编制会议，对标准的整体框架结构进行了研究，并对标准的关键性内容进行了初步探讨。经过研究，标准的主体内容确定为</w:t>
      </w:r>
      <w:r>
        <w:rPr>
          <w:rFonts w:hint="eastAsia" w:ascii="Times New Roman"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en-US" w:eastAsia="zh-CN" w:bidi="ar-SA"/>
        </w:rPr>
        <w:t>的</w:t>
      </w:r>
      <w:r>
        <w:rPr>
          <w:rFonts w:hint="eastAsia" w:ascii="Times New Roman" w:eastAsia="仿宋" w:cs="Times New Roman"/>
          <w:kern w:val="0"/>
          <w:sz w:val="28"/>
          <w:szCs w:val="28"/>
          <w:highlight w:val="none"/>
          <w:lang w:val="en-US" w:eastAsia="zh-CN" w:bidi="ar-SA"/>
        </w:rPr>
        <w:t>术语与定义、栽培区域、种植场地</w:t>
      </w:r>
      <w:r>
        <w:rPr>
          <w:rFonts w:hint="default" w:ascii="Times New Roman" w:hAnsi="Times New Roman" w:eastAsia="仿宋" w:cs="Times New Roman"/>
          <w:kern w:val="0"/>
          <w:sz w:val="28"/>
          <w:szCs w:val="28"/>
          <w:highlight w:val="none"/>
          <w:lang w:val="en-US" w:eastAsia="zh-CN" w:bidi="ar-SA"/>
        </w:rPr>
        <w:t>、</w:t>
      </w:r>
      <w:r>
        <w:rPr>
          <w:rFonts w:hint="eastAsia" w:ascii="Times New Roman" w:eastAsia="仿宋" w:cs="Times New Roman"/>
          <w:kern w:val="0"/>
          <w:sz w:val="28"/>
          <w:szCs w:val="28"/>
          <w:highlight w:val="none"/>
          <w:lang w:val="en-US" w:eastAsia="zh-CN" w:bidi="ar-SA"/>
        </w:rPr>
        <w:t>种苗培育</w:t>
      </w:r>
      <w:r>
        <w:rPr>
          <w:rFonts w:hint="default" w:ascii="Times New Roman" w:hAnsi="Times New Roman" w:eastAsia="仿宋" w:cs="Times New Roman"/>
          <w:kern w:val="0"/>
          <w:sz w:val="28"/>
          <w:szCs w:val="28"/>
          <w:highlight w:val="none"/>
          <w:lang w:val="en-US" w:eastAsia="zh-CN" w:bidi="ar-SA"/>
        </w:rPr>
        <w:t>、7　有害生物防治及残枝清理等技术要求。</w:t>
      </w:r>
    </w:p>
    <w:p w14:paraId="449B72A0">
      <w:pPr>
        <w:keepNext w:val="0"/>
        <w:keepLines w:val="0"/>
        <w:pageBreakBefore w:val="0"/>
        <w:numPr>
          <w:ilvl w:val="0"/>
          <w:numId w:val="5"/>
        </w:numPr>
        <w:kinsoku/>
        <w:wordWrap/>
        <w:overflowPunct/>
        <w:topLinePunct w:val="0"/>
        <w:bidi w:val="0"/>
        <w:adjustRightInd w:val="0"/>
        <w:snapToGrid w:val="0"/>
        <w:spacing w:line="440" w:lineRule="exact"/>
        <w:ind w:firstLine="562" w:firstLineChars="200"/>
        <w:textAlignment w:val="auto"/>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lang w:eastAsia="zh-CN"/>
        </w:rPr>
        <w:t>调</w:t>
      </w:r>
      <w:r>
        <w:rPr>
          <w:rFonts w:hint="default" w:ascii="Times New Roman" w:hAnsi="Times New Roman" w:eastAsia="仿宋_GB2312" w:cs="Times New Roman"/>
          <w:b/>
          <w:sz w:val="28"/>
          <w:szCs w:val="28"/>
          <w:highlight w:val="none"/>
        </w:rPr>
        <w:t>研</w:t>
      </w:r>
      <w:r>
        <w:rPr>
          <w:rFonts w:hint="default" w:ascii="Times New Roman" w:hAnsi="Times New Roman" w:eastAsia="仿宋_GB2312" w:cs="Times New Roman"/>
          <w:b/>
          <w:sz w:val="28"/>
          <w:szCs w:val="28"/>
          <w:highlight w:val="none"/>
          <w:lang w:eastAsia="zh-CN"/>
        </w:rPr>
        <w:t>及形成</w:t>
      </w:r>
      <w:r>
        <w:rPr>
          <w:rFonts w:hint="default" w:ascii="Times New Roman" w:hAnsi="Times New Roman" w:eastAsia="仿宋_GB2312" w:cs="Times New Roman"/>
          <w:b/>
          <w:sz w:val="28"/>
          <w:szCs w:val="28"/>
          <w:highlight w:val="none"/>
        </w:rPr>
        <w:t>征求意见稿</w:t>
      </w:r>
    </w:p>
    <w:p w14:paraId="5DEB068B">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20</w:t>
      </w:r>
      <w:r>
        <w:rPr>
          <w:rFonts w:hint="eastAsia" w:eastAsia="仿宋_GB2312" w:cs="Times New Roman"/>
          <w:sz w:val="28"/>
          <w:szCs w:val="28"/>
          <w:highlight w:val="none"/>
          <w:lang w:val="en-US" w:eastAsia="zh-CN"/>
        </w:rPr>
        <w:t>22</w:t>
      </w:r>
      <w:r>
        <w:rPr>
          <w:rFonts w:hint="default" w:ascii="Times New Roman" w:hAnsi="Times New Roman" w:eastAsia="仿宋_GB2312" w:cs="Times New Roman"/>
          <w:sz w:val="28"/>
          <w:szCs w:val="28"/>
          <w:highlight w:val="none"/>
        </w:rPr>
        <w:t>年</w:t>
      </w:r>
      <w:r>
        <w:rPr>
          <w:rFonts w:hint="eastAsia" w:eastAsia="仿宋_GB2312" w:cs="Times New Roman"/>
          <w:sz w:val="28"/>
          <w:szCs w:val="28"/>
          <w:highlight w:val="none"/>
          <w:lang w:val="en-US" w:eastAsia="zh-CN"/>
        </w:rPr>
        <w:t>1</w:t>
      </w:r>
      <w:r>
        <w:rPr>
          <w:rFonts w:hint="default" w:ascii="Times New Roman" w:hAnsi="Times New Roman" w:eastAsia="仿宋_GB2312" w:cs="Times New Roman"/>
          <w:sz w:val="28"/>
          <w:szCs w:val="28"/>
          <w:highlight w:val="none"/>
        </w:rPr>
        <w:t>月-</w:t>
      </w:r>
      <w:r>
        <w:rPr>
          <w:rFonts w:hint="eastAsia" w:eastAsia="仿宋_GB2312" w:cs="Times New Roman"/>
          <w:sz w:val="28"/>
          <w:szCs w:val="28"/>
          <w:highlight w:val="none"/>
          <w:lang w:val="en-US" w:eastAsia="zh-CN"/>
        </w:rPr>
        <w:t>12</w:t>
      </w:r>
      <w:r>
        <w:rPr>
          <w:rFonts w:hint="default" w:ascii="Times New Roman" w:hAnsi="Times New Roman" w:eastAsia="仿宋_GB2312" w:cs="Times New Roman"/>
          <w:sz w:val="28"/>
          <w:szCs w:val="28"/>
          <w:highlight w:val="none"/>
        </w:rPr>
        <w:t>月，标准起草工作小组深入到广西</w:t>
      </w:r>
      <w:r>
        <w:rPr>
          <w:rFonts w:hint="default" w:ascii="Times New Roman" w:hAnsi="Times New Roman" w:eastAsia="仿宋_GB2312" w:cs="Times New Roman"/>
          <w:sz w:val="28"/>
          <w:szCs w:val="28"/>
          <w:highlight w:val="none"/>
          <w:lang w:eastAsia="zh-CN"/>
        </w:rPr>
        <w:t>南宁、</w:t>
      </w:r>
      <w:r>
        <w:rPr>
          <w:rFonts w:hint="eastAsia" w:eastAsia="仿宋_GB2312" w:cs="Times New Roman"/>
          <w:sz w:val="28"/>
          <w:szCs w:val="28"/>
          <w:highlight w:val="none"/>
          <w:lang w:val="en-US" w:eastAsia="zh-CN"/>
        </w:rPr>
        <w:t>柳州</w:t>
      </w:r>
      <w:r>
        <w:rPr>
          <w:rFonts w:hint="default" w:ascii="Times New Roman" w:hAnsi="Times New Roman" w:eastAsia="仿宋_GB2312" w:cs="Times New Roman"/>
          <w:sz w:val="28"/>
          <w:szCs w:val="28"/>
          <w:highlight w:val="none"/>
          <w:lang w:eastAsia="zh-CN"/>
        </w:rPr>
        <w:t>、等</w:t>
      </w:r>
      <w:r>
        <w:rPr>
          <w:rFonts w:hint="eastAsia" w:eastAsia="仿宋" w:cs="Times New Roman"/>
          <w:kern w:val="0"/>
          <w:sz w:val="28"/>
          <w:szCs w:val="28"/>
          <w:highlight w:val="none"/>
          <w:lang w:val="en-US" w:eastAsia="zh-CN" w:bidi="ar-SA"/>
        </w:rPr>
        <w:t>王莲栽培应用的</w:t>
      </w:r>
      <w:r>
        <w:rPr>
          <w:rFonts w:hint="default" w:ascii="Times New Roman" w:hAnsi="Times New Roman" w:eastAsia="仿宋_GB2312" w:cs="Times New Roman"/>
          <w:sz w:val="28"/>
          <w:szCs w:val="28"/>
          <w:highlight w:val="none"/>
          <w:lang w:eastAsia="zh-CN"/>
        </w:rPr>
        <w:t>主要生产市（县</w:t>
      </w:r>
      <w:r>
        <w:rPr>
          <w:rFonts w:hint="default" w:ascii="Times New Roman" w:hAnsi="Times New Roman" w:eastAsia="仿宋_GB2312" w:cs="Times New Roman"/>
          <w:sz w:val="28"/>
          <w:szCs w:val="28"/>
          <w:highlight w:val="none"/>
          <w:lang w:val="en-US" w:eastAsia="zh-CN"/>
        </w:rPr>
        <w:t>、区</w:t>
      </w:r>
      <w:r>
        <w:rPr>
          <w:rFonts w:hint="default" w:ascii="Times New Roman" w:hAnsi="Times New Roman" w:eastAsia="仿宋_GB2312" w:cs="Times New Roman"/>
          <w:sz w:val="28"/>
          <w:szCs w:val="28"/>
          <w:highlight w:val="none"/>
          <w:lang w:eastAsia="zh-CN"/>
        </w:rPr>
        <w:t>），对各地的</w:t>
      </w:r>
      <w:r>
        <w:rPr>
          <w:rFonts w:hint="eastAsia" w:eastAsia="仿宋_GB2312" w:cs="Times New Roman"/>
          <w:sz w:val="28"/>
          <w:szCs w:val="28"/>
          <w:highlight w:val="none"/>
          <w:lang w:val="en-US" w:eastAsia="zh-CN"/>
        </w:rPr>
        <w:t>园博园、公园、花卉企业</w:t>
      </w:r>
      <w:r>
        <w:rPr>
          <w:rFonts w:hint="default" w:ascii="Times New Roman" w:hAnsi="Times New Roman" w:eastAsia="仿宋_GB2312" w:cs="Times New Roman"/>
          <w:sz w:val="28"/>
          <w:szCs w:val="28"/>
          <w:highlight w:val="none"/>
          <w:lang w:eastAsia="zh-CN"/>
        </w:rPr>
        <w:t>等</w:t>
      </w:r>
      <w:r>
        <w:rPr>
          <w:rFonts w:hint="default" w:ascii="Times New Roman" w:hAnsi="Times New Roman" w:eastAsia="仿宋_GB2312" w:cs="Times New Roman"/>
          <w:sz w:val="28"/>
          <w:szCs w:val="28"/>
          <w:highlight w:val="none"/>
        </w:rPr>
        <w:t>进行了广泛实地调研工作，查阅了大量的国内外文献资料，对</w:t>
      </w:r>
      <w:r>
        <w:rPr>
          <w:rFonts w:hint="eastAsia" w:eastAsia="仿宋" w:cs="Times New Roman"/>
          <w:kern w:val="0"/>
          <w:sz w:val="28"/>
          <w:szCs w:val="28"/>
          <w:highlight w:val="none"/>
          <w:lang w:val="en-US" w:eastAsia="zh-CN" w:bidi="ar-SA"/>
        </w:rPr>
        <w:t>王莲栽培</w:t>
      </w:r>
      <w:r>
        <w:rPr>
          <w:rFonts w:hint="default" w:ascii="Times New Roman" w:hAnsi="Times New Roman" w:eastAsia="仿宋_GB2312" w:cs="Times New Roman"/>
          <w:sz w:val="28"/>
          <w:szCs w:val="28"/>
          <w:highlight w:val="none"/>
        </w:rPr>
        <w:t>技术的前人研究成果进行系统总结</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highlight w:val="none"/>
        </w:rPr>
        <w:t>形成了标准的基本构架</w:t>
      </w:r>
      <w:r>
        <w:rPr>
          <w:rFonts w:hint="default" w:ascii="Times New Roman" w:hAnsi="Times New Roman" w:eastAsia="仿宋_GB2312" w:cs="Times New Roman"/>
          <w:sz w:val="28"/>
          <w:szCs w:val="28"/>
          <w:highlight w:val="none"/>
          <w:lang w:eastAsia="zh-CN"/>
        </w:rPr>
        <w:t>；并在编制小组前期科研工作基础上开展相关</w:t>
      </w:r>
      <w:r>
        <w:rPr>
          <w:rFonts w:hint="eastAsia" w:eastAsia="仿宋_GB2312" w:cs="Times New Roman"/>
          <w:sz w:val="28"/>
          <w:szCs w:val="28"/>
          <w:highlight w:val="none"/>
          <w:lang w:val="en-US" w:eastAsia="zh-CN"/>
        </w:rPr>
        <w:t>试验验证</w:t>
      </w:r>
      <w:r>
        <w:rPr>
          <w:rFonts w:hint="default" w:ascii="Times New Roman" w:hAnsi="Times New Roman" w:eastAsia="仿宋_GB2312" w:cs="Times New Roman"/>
          <w:sz w:val="28"/>
          <w:szCs w:val="28"/>
          <w:highlight w:val="none"/>
          <w:lang w:eastAsia="zh-CN"/>
        </w:rPr>
        <w:t>，获得科学试验数据，</w:t>
      </w:r>
      <w:r>
        <w:rPr>
          <w:rFonts w:hint="default" w:ascii="Times New Roman" w:hAnsi="Times New Roman" w:eastAsia="仿宋_GB2312" w:cs="Times New Roman"/>
          <w:sz w:val="28"/>
          <w:szCs w:val="28"/>
          <w:highlight w:val="none"/>
        </w:rPr>
        <w:t>对主要内容进行了讨论并对项目的工作进行了部署和安排。</w:t>
      </w:r>
    </w:p>
    <w:p w14:paraId="579AF191">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w:t>
      </w:r>
      <w:r>
        <w:rPr>
          <w:rFonts w:hint="default" w:ascii="Times New Roman" w:hAnsi="Times New Roman" w:eastAsia="仿宋_GB2312" w:cs="Times New Roman"/>
          <w:sz w:val="28"/>
          <w:szCs w:val="28"/>
          <w:highlight w:val="none"/>
          <w:lang w:val="en-US" w:eastAsia="zh-CN"/>
        </w:rPr>
        <w:t>02</w:t>
      </w:r>
      <w:r>
        <w:rPr>
          <w:rFonts w:hint="eastAsia"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年</w:t>
      </w:r>
      <w:r>
        <w:rPr>
          <w:rFonts w:hint="default" w:ascii="Times New Roman" w:hAnsi="Times New Roman" w:eastAsia="仿宋_GB2312" w:cs="Times New Roman"/>
          <w:sz w:val="28"/>
          <w:szCs w:val="28"/>
          <w:highlight w:val="none"/>
          <w:lang w:val="en-US" w:eastAsia="zh-CN"/>
        </w:rPr>
        <w:t>1</w:t>
      </w:r>
      <w:r>
        <w:rPr>
          <w:rFonts w:hint="default" w:ascii="Times New Roman" w:hAnsi="Times New Roman" w:eastAsia="仿宋_GB2312" w:cs="Times New Roman"/>
          <w:sz w:val="28"/>
          <w:szCs w:val="28"/>
          <w:highlight w:val="none"/>
        </w:rPr>
        <w:t>月-</w:t>
      </w:r>
      <w:r>
        <w:rPr>
          <w:rFonts w:hint="eastAsia" w:eastAsia="仿宋_GB2312" w:cs="Times New Roman"/>
          <w:sz w:val="28"/>
          <w:szCs w:val="28"/>
          <w:highlight w:val="none"/>
          <w:lang w:val="en-US" w:eastAsia="zh-CN"/>
        </w:rPr>
        <w:t>10</w:t>
      </w:r>
      <w:r>
        <w:rPr>
          <w:rFonts w:hint="default" w:ascii="Times New Roman" w:hAnsi="Times New Roman" w:eastAsia="仿宋_GB2312" w:cs="Times New Roman"/>
          <w:sz w:val="28"/>
          <w:szCs w:val="28"/>
          <w:highlight w:val="none"/>
        </w:rPr>
        <w:t>月，在前期工作的基础之上，通过理清逻辑脉络，整合已有的参考资料中有关</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en-US" w:eastAsia="zh-CN" w:bidi="ar-SA"/>
        </w:rPr>
        <w:t>的环境要求种子采收、催芽、小苗培育、栽培、有害生物防治和残株清理</w:t>
      </w:r>
      <w:r>
        <w:rPr>
          <w:rFonts w:hint="eastAsia" w:eastAsia="仿宋" w:cs="Times New Roman"/>
          <w:kern w:val="0"/>
          <w:sz w:val="28"/>
          <w:szCs w:val="28"/>
          <w:highlight w:val="none"/>
          <w:lang w:val="en-US" w:eastAsia="zh-CN" w:bidi="ar-SA"/>
        </w:rPr>
        <w:t>等</w:t>
      </w:r>
      <w:r>
        <w:rPr>
          <w:rFonts w:hint="default" w:ascii="Times New Roman" w:hAnsi="Times New Roman" w:eastAsia="仿宋_GB2312" w:cs="Times New Roman"/>
          <w:sz w:val="28"/>
          <w:szCs w:val="28"/>
          <w:highlight w:val="none"/>
        </w:rPr>
        <w:t>实际要求的基础上，按照简化、统一等原则编制完成</w:t>
      </w:r>
      <w:r>
        <w:rPr>
          <w:rFonts w:hint="eastAsia" w:eastAsia="仿宋_GB2312" w:cs="Times New Roman"/>
          <w:sz w:val="28"/>
          <w:szCs w:val="28"/>
          <w:highlight w:val="none"/>
          <w:lang w:eastAsia="zh-CN"/>
        </w:rPr>
        <w:t>团体标准</w:t>
      </w:r>
      <w:r>
        <w:rPr>
          <w:rFonts w:hint="default" w:ascii="Times New Roman" w:hAnsi="Times New Roman" w:eastAsia="仿宋_GB2312" w:cs="Times New Roman"/>
          <w:sz w:val="28"/>
          <w:szCs w:val="28"/>
          <w:highlight w:val="none"/>
        </w:rPr>
        <w:t>《</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zh-CN" w:eastAsia="zh-CN" w:bidi="ar-SA"/>
        </w:rPr>
        <w:t>技术规程</w:t>
      </w:r>
      <w:r>
        <w:rPr>
          <w:rFonts w:hint="default" w:ascii="Times New Roman" w:hAnsi="Times New Roman" w:eastAsia="仿宋_GB2312" w:cs="Times New Roman"/>
          <w:sz w:val="28"/>
          <w:szCs w:val="28"/>
          <w:highlight w:val="none"/>
        </w:rPr>
        <w:t>》（草案）</w:t>
      </w:r>
      <w:r>
        <w:rPr>
          <w:rFonts w:hint="eastAsia" w:eastAsia="仿宋_GB2312" w:cs="Times New Roman"/>
          <w:sz w:val="28"/>
          <w:szCs w:val="28"/>
          <w:highlight w:val="none"/>
          <w:lang w:eastAsia="zh-CN"/>
        </w:rPr>
        <w:t>，</w:t>
      </w:r>
      <w:r>
        <w:rPr>
          <w:rFonts w:hint="eastAsia" w:eastAsia="仿宋_GB2312" w:cs="Times New Roman"/>
          <w:sz w:val="28"/>
          <w:szCs w:val="28"/>
          <w:highlight w:val="none"/>
          <w:lang w:val="en-US" w:eastAsia="zh-CN"/>
        </w:rPr>
        <w:t>并于2023年11月向广西标准化协会提出立项申请</w:t>
      </w:r>
      <w:r>
        <w:rPr>
          <w:rFonts w:hint="default" w:ascii="Times New Roman" w:hAnsi="Times New Roman" w:eastAsia="仿宋_GB2312" w:cs="Times New Roman"/>
          <w:sz w:val="28"/>
          <w:szCs w:val="28"/>
          <w:highlight w:val="none"/>
        </w:rPr>
        <w:t>。</w:t>
      </w:r>
    </w:p>
    <w:p w14:paraId="162A10E9">
      <w:pPr>
        <w:keepNext w:val="0"/>
        <w:keepLines w:val="0"/>
        <w:pageBreakBefore w:val="0"/>
        <w:kinsoku/>
        <w:wordWrap/>
        <w:overflowPunct/>
        <w:topLinePunct w:val="0"/>
        <w:autoSpaceDE w:val="0"/>
        <w:autoSpaceDN w:val="0"/>
        <w:bidi w:val="0"/>
        <w:adjustRightInd w:val="0"/>
        <w:snapToGrid w:val="0"/>
        <w:spacing w:line="440" w:lineRule="exact"/>
        <w:ind w:firstLine="560" w:firstLineChars="200"/>
        <w:jc w:val="left"/>
        <w:textAlignment w:val="auto"/>
        <w:rPr>
          <w:rFonts w:hint="default" w:ascii="Times New Roman" w:hAnsi="Times New Roman" w:eastAsia="仿宋_GB2312" w:cs="Times New Roman"/>
          <w:color w:val="000000"/>
          <w:sz w:val="28"/>
          <w:szCs w:val="28"/>
          <w:highlight w:val="none"/>
          <w:lang w:eastAsia="zh-CN"/>
        </w:rPr>
      </w:pPr>
      <w:r>
        <w:rPr>
          <w:rFonts w:hint="default" w:ascii="Times New Roman" w:hAnsi="Times New Roman" w:eastAsia="仿宋_GB2312" w:cs="Times New Roman"/>
          <w:sz w:val="28"/>
          <w:szCs w:val="28"/>
          <w:highlight w:val="none"/>
        </w:rPr>
        <w:t>202</w:t>
      </w:r>
      <w:r>
        <w:rPr>
          <w:rFonts w:hint="eastAsia" w:eastAsia="仿宋_GB2312" w:cs="Times New Roman"/>
          <w:sz w:val="28"/>
          <w:szCs w:val="28"/>
          <w:highlight w:val="none"/>
          <w:lang w:val="en-US" w:eastAsia="zh-CN"/>
        </w:rPr>
        <w:t>3</w:t>
      </w:r>
      <w:r>
        <w:rPr>
          <w:rFonts w:hint="default" w:ascii="Times New Roman" w:hAnsi="Times New Roman" w:eastAsia="仿宋_GB2312" w:cs="Times New Roman"/>
          <w:sz w:val="28"/>
          <w:szCs w:val="28"/>
          <w:highlight w:val="none"/>
        </w:rPr>
        <w:t>年</w:t>
      </w:r>
      <w:r>
        <w:rPr>
          <w:rFonts w:hint="eastAsia" w:eastAsia="仿宋_GB2312" w:cs="Times New Roman"/>
          <w:sz w:val="28"/>
          <w:szCs w:val="28"/>
          <w:highlight w:val="none"/>
          <w:lang w:val="en-US" w:eastAsia="zh-CN"/>
        </w:rPr>
        <w:t>12</w:t>
      </w:r>
      <w:r>
        <w:rPr>
          <w:rFonts w:hint="default" w:ascii="Times New Roman" w:hAnsi="Times New Roman" w:eastAsia="仿宋_GB2312" w:cs="Times New Roman"/>
          <w:sz w:val="28"/>
          <w:szCs w:val="28"/>
          <w:highlight w:val="none"/>
          <w:lang w:val="en-US" w:eastAsia="zh-CN"/>
        </w:rPr>
        <w:t>月-</w:t>
      </w:r>
      <w:r>
        <w:rPr>
          <w:rFonts w:hint="eastAsia" w:eastAsia="仿宋_GB2312" w:cs="Times New Roman"/>
          <w:sz w:val="28"/>
          <w:szCs w:val="28"/>
          <w:highlight w:val="none"/>
          <w:lang w:val="en-US" w:eastAsia="zh-CN"/>
        </w:rPr>
        <w:t>2024年7</w:t>
      </w:r>
      <w:r>
        <w:rPr>
          <w:rFonts w:hint="default" w:ascii="Times New Roman" w:hAnsi="Times New Roman" w:eastAsia="仿宋_GB2312" w:cs="Times New Roman"/>
          <w:sz w:val="28"/>
          <w:szCs w:val="28"/>
          <w:highlight w:val="none"/>
        </w:rPr>
        <w:t>月</w:t>
      </w:r>
      <w:r>
        <w:rPr>
          <w:rFonts w:hint="default" w:ascii="Times New Roman" w:hAnsi="Times New Roman" w:eastAsia="仿宋_GB2312" w:cs="Times New Roman"/>
          <w:color w:val="000000"/>
          <w:sz w:val="28"/>
          <w:szCs w:val="28"/>
          <w:highlight w:val="none"/>
        </w:rPr>
        <w:t>标准起草工作组再次深入区内</w:t>
      </w:r>
      <w:r>
        <w:rPr>
          <w:rFonts w:hint="eastAsia" w:eastAsia="仿宋" w:cs="Times New Roman"/>
          <w:kern w:val="0"/>
          <w:sz w:val="28"/>
          <w:szCs w:val="28"/>
          <w:highlight w:val="none"/>
          <w:lang w:val="en-US" w:eastAsia="zh-CN" w:bidi="ar-SA"/>
        </w:rPr>
        <w:t>王莲栽培生产</w:t>
      </w:r>
      <w:r>
        <w:rPr>
          <w:rFonts w:hint="default" w:ascii="Times New Roman" w:hAnsi="Times New Roman" w:eastAsia="仿宋_GB2312" w:cs="Times New Roman"/>
          <w:color w:val="000000"/>
          <w:sz w:val="28"/>
          <w:szCs w:val="28"/>
          <w:highlight w:val="none"/>
        </w:rPr>
        <w:t>的有代表性的</w:t>
      </w:r>
      <w:r>
        <w:rPr>
          <w:rFonts w:hint="eastAsia" w:eastAsia="仿宋_GB2312" w:cs="Times New Roman"/>
          <w:color w:val="000000"/>
          <w:sz w:val="28"/>
          <w:szCs w:val="28"/>
          <w:highlight w:val="none"/>
          <w:lang w:val="en-US" w:eastAsia="zh-CN"/>
        </w:rPr>
        <w:t>公园、种苗繁育企业</w:t>
      </w:r>
      <w:r>
        <w:rPr>
          <w:rFonts w:hint="default" w:ascii="Times New Roman" w:hAnsi="Times New Roman" w:eastAsia="仿宋_GB2312" w:cs="Times New Roman"/>
          <w:color w:val="000000"/>
          <w:sz w:val="28"/>
          <w:szCs w:val="28"/>
          <w:highlight w:val="none"/>
        </w:rPr>
        <w:t>针对</w:t>
      </w:r>
      <w:r>
        <w:rPr>
          <w:rFonts w:hint="eastAsia" w:eastAsia="仿宋" w:cs="Times New Roman"/>
          <w:kern w:val="0"/>
          <w:sz w:val="28"/>
          <w:szCs w:val="28"/>
          <w:highlight w:val="none"/>
          <w:lang w:val="en-US" w:eastAsia="zh-CN" w:bidi="ar-SA"/>
        </w:rPr>
        <w:t>王莲栽培</w:t>
      </w:r>
      <w:r>
        <w:rPr>
          <w:rFonts w:hint="default" w:ascii="Times New Roman" w:hAnsi="Times New Roman" w:eastAsia="仿宋_GB2312" w:cs="Times New Roman"/>
          <w:color w:val="000000"/>
          <w:sz w:val="28"/>
          <w:szCs w:val="28"/>
          <w:highlight w:val="none"/>
        </w:rPr>
        <w:t>情况进行分组实地调研学习</w:t>
      </w:r>
      <w:r>
        <w:rPr>
          <w:rFonts w:hint="default" w:ascii="Times New Roman" w:hAnsi="Times New Roman" w:eastAsia="仿宋_GB2312" w:cs="Times New Roman"/>
          <w:color w:val="000000"/>
          <w:sz w:val="28"/>
          <w:szCs w:val="28"/>
          <w:highlight w:val="none"/>
          <w:lang w:eastAsia="zh-CN"/>
        </w:rPr>
        <w:t>，</w:t>
      </w:r>
      <w:r>
        <w:rPr>
          <w:rFonts w:hint="default" w:ascii="Times New Roman" w:hAnsi="Times New Roman" w:eastAsia="仿宋_GB2312" w:cs="Times New Roman"/>
          <w:color w:val="000000"/>
          <w:sz w:val="28"/>
          <w:szCs w:val="28"/>
          <w:highlight w:val="none"/>
        </w:rPr>
        <w:t>通过实地调研，掌握各地方关于</w:t>
      </w:r>
      <w:r>
        <w:rPr>
          <w:rFonts w:hint="eastAsia" w:eastAsia="仿宋" w:cs="Times New Roman"/>
          <w:kern w:val="0"/>
          <w:sz w:val="28"/>
          <w:szCs w:val="28"/>
          <w:highlight w:val="none"/>
          <w:lang w:val="en-US" w:eastAsia="zh-CN" w:bidi="ar-SA"/>
        </w:rPr>
        <w:t>王莲栽培</w:t>
      </w:r>
      <w:r>
        <w:rPr>
          <w:rFonts w:hint="default" w:ascii="Times New Roman" w:hAnsi="Times New Roman" w:eastAsia="仿宋_GB2312" w:cs="Times New Roman"/>
          <w:color w:val="000000"/>
          <w:sz w:val="28"/>
          <w:szCs w:val="28"/>
          <w:highlight w:val="none"/>
        </w:rPr>
        <w:t>的具体技术要求</w:t>
      </w:r>
      <w:r>
        <w:rPr>
          <w:rFonts w:hint="default" w:ascii="Times New Roman" w:hAnsi="Times New Roman" w:eastAsia="仿宋_GB2312" w:cs="Times New Roman"/>
          <w:color w:val="000000"/>
          <w:sz w:val="28"/>
          <w:szCs w:val="28"/>
          <w:highlight w:val="none"/>
          <w:lang w:eastAsia="zh-CN"/>
        </w:rPr>
        <w:t>，</w:t>
      </w:r>
      <w:r>
        <w:rPr>
          <w:rFonts w:hint="default" w:ascii="Times New Roman" w:hAnsi="Times New Roman" w:eastAsia="仿宋_GB2312" w:cs="Times New Roman"/>
          <w:color w:val="000000"/>
          <w:sz w:val="28"/>
          <w:szCs w:val="28"/>
          <w:highlight w:val="none"/>
        </w:rPr>
        <w:t>并实</w:t>
      </w:r>
      <w:r>
        <w:rPr>
          <w:rFonts w:hint="eastAsia" w:eastAsia="仿宋_GB2312" w:cs="Times New Roman"/>
          <w:color w:val="000000"/>
          <w:sz w:val="28"/>
          <w:szCs w:val="28"/>
          <w:highlight w:val="none"/>
          <w:lang w:val="en-US" w:eastAsia="zh-CN"/>
        </w:rPr>
        <w:t>地</w:t>
      </w:r>
      <w:r>
        <w:rPr>
          <w:rFonts w:hint="default" w:ascii="Times New Roman" w:hAnsi="Times New Roman" w:eastAsia="仿宋_GB2312" w:cs="Times New Roman"/>
          <w:color w:val="000000"/>
          <w:sz w:val="28"/>
          <w:szCs w:val="28"/>
          <w:highlight w:val="none"/>
        </w:rPr>
        <w:t>征求意见，通过收集</w:t>
      </w:r>
      <w:r>
        <w:rPr>
          <w:rFonts w:hint="eastAsia" w:eastAsia="仿宋_GB2312" w:cs="Times New Roman"/>
          <w:color w:val="000000"/>
          <w:sz w:val="28"/>
          <w:szCs w:val="28"/>
          <w:highlight w:val="none"/>
          <w:lang w:eastAsia="zh-CN"/>
        </w:rPr>
        <w:t>、</w:t>
      </w:r>
      <w:r>
        <w:rPr>
          <w:rFonts w:hint="eastAsia" w:eastAsia="仿宋_GB2312" w:cs="Times New Roman"/>
          <w:color w:val="000000"/>
          <w:sz w:val="28"/>
          <w:szCs w:val="28"/>
          <w:highlight w:val="none"/>
          <w:lang w:val="en-US" w:eastAsia="zh-CN"/>
        </w:rPr>
        <w:t>整理</w:t>
      </w:r>
      <w:r>
        <w:rPr>
          <w:rFonts w:hint="default" w:ascii="Times New Roman" w:hAnsi="Times New Roman" w:eastAsia="仿宋_GB2312" w:cs="Times New Roman"/>
          <w:color w:val="000000"/>
          <w:sz w:val="28"/>
          <w:szCs w:val="28"/>
          <w:highlight w:val="none"/>
        </w:rPr>
        <w:t>反馈</w:t>
      </w:r>
      <w:r>
        <w:rPr>
          <w:rFonts w:hint="eastAsia" w:eastAsia="仿宋_GB2312" w:cs="Times New Roman"/>
          <w:color w:val="000000"/>
          <w:sz w:val="28"/>
          <w:szCs w:val="28"/>
          <w:highlight w:val="none"/>
          <w:lang w:val="en-US" w:eastAsia="zh-CN"/>
        </w:rPr>
        <w:t>的</w:t>
      </w:r>
      <w:r>
        <w:rPr>
          <w:rFonts w:hint="default" w:ascii="Times New Roman" w:hAnsi="Times New Roman" w:eastAsia="仿宋_GB2312" w:cs="Times New Roman"/>
          <w:color w:val="000000"/>
          <w:sz w:val="28"/>
          <w:szCs w:val="28"/>
          <w:highlight w:val="none"/>
        </w:rPr>
        <w:t>大量意见，标准编制工作组多次召开会议，对标准草案进行了反复修改和研究讨论</w:t>
      </w:r>
      <w:r>
        <w:rPr>
          <w:rFonts w:hint="default" w:ascii="Times New Roman" w:hAnsi="Times New Roman" w:eastAsia="仿宋_GB2312" w:cs="Times New Roman"/>
          <w:color w:val="000000"/>
          <w:sz w:val="28"/>
          <w:szCs w:val="28"/>
          <w:highlight w:val="none"/>
          <w:lang w:eastAsia="zh-CN"/>
        </w:rPr>
        <w:t>，</w:t>
      </w:r>
      <w:r>
        <w:rPr>
          <w:rFonts w:hint="eastAsia" w:eastAsia="仿宋_GB2312" w:cs="Times New Roman"/>
          <w:color w:val="000000"/>
          <w:sz w:val="28"/>
          <w:szCs w:val="28"/>
          <w:highlight w:val="none"/>
          <w:lang w:val="en-US" w:eastAsia="zh-CN"/>
        </w:rPr>
        <w:t>2024年8月-9月广泛征集了7家单位专家意见20条，经讨论采纳10条，部分采纳10条，进一步完善</w:t>
      </w:r>
      <w:r>
        <w:rPr>
          <w:rFonts w:hint="default" w:ascii="Times New Roman" w:hAnsi="Times New Roman" w:eastAsia="仿宋_GB2312" w:cs="Times New Roman"/>
          <w:color w:val="000000"/>
          <w:sz w:val="28"/>
          <w:szCs w:val="28"/>
          <w:highlight w:val="none"/>
        </w:rPr>
        <w:t>了</w:t>
      </w:r>
      <w:r>
        <w:rPr>
          <w:rFonts w:hint="eastAsia" w:eastAsia="仿宋_GB2312" w:cs="Times New Roman"/>
          <w:color w:val="000000"/>
          <w:sz w:val="28"/>
          <w:szCs w:val="28"/>
          <w:highlight w:val="none"/>
          <w:lang w:eastAsia="zh-CN"/>
        </w:rPr>
        <w:t>团体标准</w:t>
      </w:r>
      <w:r>
        <w:rPr>
          <w:rFonts w:hint="default" w:ascii="Times New Roman" w:hAnsi="Times New Roman" w:eastAsia="仿宋_GB2312" w:cs="Times New Roman"/>
          <w:color w:val="000000"/>
          <w:sz w:val="28"/>
          <w:szCs w:val="28"/>
          <w:highlight w:val="none"/>
        </w:rPr>
        <w:t>《</w:t>
      </w:r>
      <w:r>
        <w:rPr>
          <w:rFonts w:hint="eastAsia" w:eastAsia="仿宋" w:cs="Times New Roman"/>
          <w:kern w:val="0"/>
          <w:sz w:val="28"/>
          <w:szCs w:val="28"/>
          <w:highlight w:val="none"/>
          <w:lang w:val="en-US" w:eastAsia="zh-CN" w:bidi="ar-SA"/>
        </w:rPr>
        <w:t>王莲栽培</w:t>
      </w:r>
      <w:r>
        <w:rPr>
          <w:rFonts w:hint="default" w:ascii="Times New Roman" w:hAnsi="Times New Roman" w:eastAsia="仿宋" w:cs="Times New Roman"/>
          <w:kern w:val="0"/>
          <w:sz w:val="28"/>
          <w:szCs w:val="28"/>
          <w:highlight w:val="none"/>
          <w:lang w:val="zh-CN" w:eastAsia="zh-CN" w:bidi="ar-SA"/>
        </w:rPr>
        <w:t>技术规程</w:t>
      </w:r>
      <w:r>
        <w:rPr>
          <w:rFonts w:hint="default" w:ascii="Times New Roman" w:hAnsi="Times New Roman" w:eastAsia="仿宋_GB2312" w:cs="Times New Roman"/>
          <w:color w:val="000000"/>
          <w:sz w:val="28"/>
          <w:szCs w:val="28"/>
          <w:highlight w:val="none"/>
        </w:rPr>
        <w:t>》（征求意见稿）和（征求意见稿）编制说明</w:t>
      </w:r>
      <w:r>
        <w:rPr>
          <w:rFonts w:hint="eastAsia" w:eastAsia="仿宋_GB2312" w:cs="Times New Roman"/>
          <w:color w:val="000000"/>
          <w:sz w:val="28"/>
          <w:szCs w:val="28"/>
          <w:highlight w:val="none"/>
          <w:lang w:eastAsia="zh-CN"/>
        </w:rPr>
        <w:t>。</w:t>
      </w:r>
    </w:p>
    <w:p w14:paraId="6E9F75E1">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lang w:val="en-US" w:eastAsia="zh-CN"/>
        </w:rPr>
      </w:pPr>
      <w:bookmarkStart w:id="0" w:name="_Toc526940083"/>
      <w:r>
        <w:rPr>
          <w:rFonts w:hint="default" w:ascii="Times New Roman" w:hAnsi="Times New Roman" w:eastAsia="黑体" w:cs="Times New Roman"/>
          <w:color w:val="auto"/>
          <w:sz w:val="32"/>
          <w:szCs w:val="32"/>
          <w:highlight w:val="none"/>
        </w:rPr>
        <w:t>四、制定标准</w:t>
      </w:r>
      <w:r>
        <w:rPr>
          <w:rFonts w:hint="eastAsia" w:ascii="Times New Roman" w:hAnsi="Times New Roman" w:eastAsia="黑体" w:cs="Times New Roman"/>
          <w:color w:val="auto"/>
          <w:sz w:val="32"/>
          <w:szCs w:val="32"/>
          <w:highlight w:val="none"/>
          <w:lang w:val="en-US" w:eastAsia="zh-CN"/>
        </w:rPr>
        <w:t>的</w:t>
      </w:r>
      <w:r>
        <w:rPr>
          <w:rFonts w:hint="default" w:ascii="Times New Roman" w:hAnsi="Times New Roman" w:eastAsia="黑体" w:cs="Times New Roman"/>
          <w:color w:val="auto"/>
          <w:sz w:val="32"/>
          <w:szCs w:val="32"/>
          <w:highlight w:val="none"/>
        </w:rPr>
        <w:t>原则</w:t>
      </w:r>
      <w:bookmarkEnd w:id="0"/>
      <w:r>
        <w:rPr>
          <w:rFonts w:hint="eastAsia" w:eastAsia="黑体" w:cs="Times New Roman"/>
          <w:color w:val="auto"/>
          <w:sz w:val="32"/>
          <w:szCs w:val="32"/>
          <w:highlight w:val="none"/>
          <w:lang w:val="en-US" w:eastAsia="zh-CN"/>
        </w:rPr>
        <w:t>和依据，与现行法律、法规的关系，与有关国家标准、行业标准的协调情况</w:t>
      </w:r>
    </w:p>
    <w:p w14:paraId="373463F9">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2" w:firstLineChars="200"/>
        <w:textAlignment w:val="auto"/>
        <w:rPr>
          <w:rFonts w:hint="default" w:ascii="Times New Roman" w:hAnsi="Times New Roman" w:eastAsia="仿宋_GB2312" w:cs="Times New Roman"/>
          <w:b/>
          <w:sz w:val="28"/>
          <w:szCs w:val="28"/>
          <w:highlight w:val="none"/>
        </w:rPr>
      </w:pPr>
      <w:r>
        <w:rPr>
          <w:rFonts w:hint="eastAsia" w:ascii="Times New Roman" w:hAnsi="Times New Roman" w:eastAsia="仿宋_GB2312" w:cs="Times New Roman"/>
          <w:b/>
          <w:sz w:val="28"/>
          <w:szCs w:val="28"/>
          <w:highlight w:val="none"/>
          <w:lang w:eastAsia="zh-CN"/>
        </w:rPr>
        <w:t>（</w:t>
      </w:r>
      <w:r>
        <w:rPr>
          <w:rFonts w:hint="eastAsia" w:ascii="Times New Roman" w:hAnsi="Times New Roman" w:eastAsia="仿宋_GB2312" w:cs="Times New Roman"/>
          <w:b/>
          <w:sz w:val="28"/>
          <w:szCs w:val="28"/>
          <w:highlight w:val="none"/>
          <w:lang w:val="en-US" w:eastAsia="zh-CN"/>
        </w:rPr>
        <w:t>一</w:t>
      </w:r>
      <w:r>
        <w:rPr>
          <w:rFonts w:hint="eastAsia" w:ascii="Times New Roman" w:hAnsi="Times New Roman" w:eastAsia="仿宋_GB2312" w:cs="Times New Roman"/>
          <w:b/>
          <w:sz w:val="28"/>
          <w:szCs w:val="28"/>
          <w:highlight w:val="none"/>
          <w:lang w:eastAsia="zh-CN"/>
        </w:rPr>
        <w:t>）制定标准的原则和依据</w:t>
      </w:r>
    </w:p>
    <w:p w14:paraId="5015E3C2">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lang w:val="en-US" w:eastAsia="zh-CN"/>
        </w:rPr>
      </w:pPr>
      <w:r>
        <w:rPr>
          <w:rFonts w:hint="eastAsia" w:eastAsia="仿宋_GB2312" w:cs="Times New Roman"/>
          <w:sz w:val="28"/>
          <w:szCs w:val="28"/>
          <w:highlight w:val="none"/>
          <w:lang w:val="en-US" w:eastAsia="zh-CN"/>
        </w:rPr>
        <w:t>本标准</w:t>
      </w:r>
      <w:r>
        <w:rPr>
          <w:rFonts w:hint="default" w:ascii="Times New Roman" w:hAnsi="Times New Roman" w:eastAsia="仿宋_GB2312" w:cs="Times New Roman"/>
          <w:sz w:val="28"/>
          <w:szCs w:val="28"/>
          <w:highlight w:val="none"/>
        </w:rPr>
        <w:t>严格按照GB/T 1.1</w:t>
      </w:r>
      <w:r>
        <w:rPr>
          <w:rFonts w:hint="default" w:ascii="Times New Roman" w:hAnsi="Times New Roman" w:eastAsia="仿宋_GB2312" w:cs="Times New Roman"/>
          <w:sz w:val="28"/>
          <w:szCs w:val="28"/>
          <w:highlight w:val="none"/>
          <w:lang w:val="en-US" w:eastAsia="zh-CN"/>
        </w:rPr>
        <w:t>-</w:t>
      </w:r>
      <w:r>
        <w:rPr>
          <w:rFonts w:hint="default" w:ascii="Times New Roman" w:hAnsi="Times New Roman" w:eastAsia="仿宋_GB2312" w:cs="Times New Roman"/>
          <w:sz w:val="28"/>
          <w:szCs w:val="28"/>
          <w:highlight w:val="none"/>
        </w:rPr>
        <w:t>2020《标准化工作导则 第1部分：标准化文件的结构和起草规则》的要求和规定</w:t>
      </w:r>
      <w:r>
        <w:rPr>
          <w:rFonts w:hint="eastAsia" w:ascii="Times New Roman" w:hAnsi="Times New Roman" w:eastAsia="仿宋_GB2312" w:cs="Times New Roman"/>
          <w:sz w:val="28"/>
          <w:szCs w:val="28"/>
          <w:highlight w:val="none"/>
          <w:lang w:eastAsia="zh-CN"/>
        </w:rPr>
        <w:t>，</w:t>
      </w:r>
      <w:r>
        <w:rPr>
          <w:rFonts w:hint="eastAsia" w:ascii="Times New Roman" w:hAnsi="Times New Roman" w:eastAsia="仿宋_GB2312" w:cs="Times New Roman"/>
          <w:sz w:val="28"/>
          <w:szCs w:val="28"/>
          <w:highlight w:val="none"/>
          <w:lang w:val="en-US" w:eastAsia="zh-CN"/>
        </w:rPr>
        <w:t>并依据</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default" w:ascii="Times New Roman" w:hAnsi="Times New Roman" w:eastAsia="仿宋_GB2312" w:cs="Times New Roman"/>
          <w:sz w:val="28"/>
          <w:szCs w:val="28"/>
          <w:highlight w:val="none"/>
        </w:rPr>
        <w:t>多年</w:t>
      </w:r>
      <w:r>
        <w:rPr>
          <w:rFonts w:hint="eastAsia" w:eastAsia="仿宋_GB2312" w:cs="Times New Roman"/>
          <w:sz w:val="28"/>
          <w:szCs w:val="28"/>
          <w:highlight w:val="none"/>
          <w:lang w:val="en-US" w:eastAsia="zh-CN"/>
        </w:rPr>
        <w:t>对王莲栽培的种子采收、种子催芽</w:t>
      </w:r>
      <w:r>
        <w:rPr>
          <w:rFonts w:hint="default" w:ascii="Times New Roman" w:hAnsi="Times New Roman" w:eastAsia="仿宋_GB2312" w:cs="Times New Roman"/>
          <w:sz w:val="28"/>
          <w:szCs w:val="28"/>
          <w:highlight w:val="none"/>
        </w:rPr>
        <w:t>、</w:t>
      </w:r>
      <w:r>
        <w:rPr>
          <w:rFonts w:hint="eastAsia" w:eastAsia="仿宋_GB2312" w:cs="Times New Roman"/>
          <w:sz w:val="28"/>
          <w:szCs w:val="28"/>
          <w:highlight w:val="none"/>
          <w:lang w:val="en-US" w:eastAsia="zh-CN"/>
        </w:rPr>
        <w:t>栽培技术</w:t>
      </w:r>
      <w:r>
        <w:rPr>
          <w:rFonts w:hint="default" w:ascii="Times New Roman" w:hAnsi="Times New Roman" w:eastAsia="仿宋_GB2312" w:cs="Times New Roman"/>
          <w:sz w:val="28"/>
          <w:szCs w:val="28"/>
          <w:highlight w:val="none"/>
        </w:rPr>
        <w:t>总结起草</w:t>
      </w:r>
      <w:r>
        <w:rPr>
          <w:rFonts w:hint="eastAsia" w:ascii="Times New Roman" w:hAnsi="Times New Roman" w:eastAsia="仿宋_GB2312" w:cs="Times New Roman"/>
          <w:sz w:val="28"/>
          <w:szCs w:val="28"/>
          <w:highlight w:val="none"/>
          <w:lang w:eastAsia="zh-CN"/>
        </w:rPr>
        <w:t>，</w:t>
      </w:r>
      <w:r>
        <w:rPr>
          <w:rFonts w:hint="eastAsia" w:ascii="Times New Roman" w:hAnsi="Times New Roman" w:eastAsia="仿宋_GB2312" w:cs="Times New Roman"/>
          <w:sz w:val="28"/>
          <w:szCs w:val="28"/>
          <w:highlight w:val="none"/>
          <w:lang w:val="en-US" w:eastAsia="zh-CN"/>
        </w:rPr>
        <w:t>遵循以下原则：</w:t>
      </w:r>
    </w:p>
    <w:p w14:paraId="118E84A4">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1、实用性原则</w:t>
      </w:r>
    </w:p>
    <w:p w14:paraId="6446B822">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本文件是在充分收集相关资料和文献，分析</w:t>
      </w:r>
      <w:r>
        <w:rPr>
          <w:rFonts w:hint="eastAsia" w:eastAsia="仿宋" w:cs="Times New Roman"/>
          <w:kern w:val="0"/>
          <w:sz w:val="28"/>
          <w:szCs w:val="28"/>
          <w:highlight w:val="none"/>
          <w:lang w:val="en-US" w:eastAsia="zh-CN"/>
        </w:rPr>
        <w:t>王莲栽培应用</w:t>
      </w:r>
      <w:r>
        <w:rPr>
          <w:rFonts w:hint="default" w:ascii="Times New Roman" w:hAnsi="Times New Roman" w:eastAsia="仿宋_GB2312" w:cs="Times New Roman"/>
          <w:sz w:val="28"/>
          <w:szCs w:val="28"/>
          <w:highlight w:val="none"/>
        </w:rPr>
        <w:t>当前现状，调研</w:t>
      </w:r>
      <w:r>
        <w:rPr>
          <w:rFonts w:hint="eastAsia" w:eastAsia="仿宋_GB2312" w:cs="Times New Roman"/>
          <w:sz w:val="28"/>
          <w:szCs w:val="28"/>
          <w:highlight w:val="none"/>
          <w:lang w:val="en-US" w:eastAsia="zh-CN"/>
        </w:rPr>
        <w:t>王莲栽培应用近5年</w:t>
      </w:r>
      <w:r>
        <w:rPr>
          <w:rFonts w:hint="default" w:ascii="Times New Roman" w:hAnsi="Times New Roman" w:eastAsia="仿宋_GB2312" w:cs="Times New Roman"/>
          <w:sz w:val="28"/>
          <w:szCs w:val="28"/>
          <w:highlight w:val="none"/>
        </w:rPr>
        <w:t>情况</w:t>
      </w:r>
      <w:r>
        <w:rPr>
          <w:rFonts w:hint="default" w:ascii="Times New Roman" w:hAnsi="Times New Roman" w:cs="Times New Roman"/>
          <w:sz w:val="28"/>
          <w:szCs w:val="28"/>
          <w:highlight w:val="none"/>
        </w:rPr>
        <w:t>，</w:t>
      </w:r>
      <w:r>
        <w:rPr>
          <w:rFonts w:hint="default" w:ascii="Times New Roman" w:hAnsi="Times New Roman" w:eastAsia="仿宋_GB2312" w:cs="Times New Roman"/>
          <w:sz w:val="28"/>
          <w:szCs w:val="28"/>
          <w:highlight w:val="none"/>
        </w:rPr>
        <w:t>在现有国家、行业标准相关</w:t>
      </w:r>
      <w:r>
        <w:rPr>
          <w:rFonts w:hint="eastAsia" w:eastAsia="仿宋_GB2312" w:cs="Times New Roman"/>
          <w:sz w:val="28"/>
          <w:szCs w:val="28"/>
          <w:highlight w:val="none"/>
          <w:lang w:val="en-US" w:eastAsia="zh-CN"/>
        </w:rPr>
        <w:t>王莲栽培技术</w:t>
      </w:r>
      <w:r>
        <w:rPr>
          <w:rFonts w:hint="default" w:ascii="Times New Roman" w:hAnsi="Times New Roman" w:eastAsia="仿宋_GB2312" w:cs="Times New Roman"/>
          <w:sz w:val="28"/>
          <w:szCs w:val="28"/>
          <w:highlight w:val="none"/>
        </w:rPr>
        <w:t>要求的基础上，结合</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default" w:ascii="Times New Roman" w:hAnsi="Times New Roman" w:eastAsia="仿宋_GB2312" w:cs="Times New Roman"/>
          <w:sz w:val="28"/>
          <w:szCs w:val="28"/>
          <w:highlight w:val="none"/>
        </w:rPr>
        <w:t>多年</w:t>
      </w:r>
      <w:r>
        <w:rPr>
          <w:rFonts w:hint="eastAsia" w:eastAsia="仿宋_GB2312" w:cs="Times New Roman"/>
          <w:sz w:val="28"/>
          <w:szCs w:val="28"/>
          <w:highlight w:val="none"/>
          <w:lang w:val="en-US" w:eastAsia="zh-CN"/>
        </w:rPr>
        <w:t>对王莲栽培的种子采收、种子催芽</w:t>
      </w:r>
      <w:r>
        <w:rPr>
          <w:rFonts w:hint="default" w:ascii="Times New Roman" w:hAnsi="Times New Roman" w:eastAsia="仿宋_GB2312" w:cs="Times New Roman"/>
          <w:sz w:val="28"/>
          <w:szCs w:val="28"/>
          <w:highlight w:val="none"/>
        </w:rPr>
        <w:t>、</w:t>
      </w:r>
      <w:r>
        <w:rPr>
          <w:rFonts w:hint="eastAsia" w:eastAsia="仿宋_GB2312" w:cs="Times New Roman"/>
          <w:sz w:val="28"/>
          <w:szCs w:val="28"/>
          <w:highlight w:val="none"/>
          <w:lang w:val="en-US" w:eastAsia="zh-CN"/>
        </w:rPr>
        <w:t>栽培技术</w:t>
      </w:r>
      <w:r>
        <w:rPr>
          <w:rFonts w:hint="default" w:ascii="Times New Roman" w:hAnsi="Times New Roman" w:eastAsia="仿宋_GB2312" w:cs="Times New Roman"/>
          <w:sz w:val="28"/>
          <w:szCs w:val="28"/>
          <w:highlight w:val="none"/>
        </w:rPr>
        <w:t>而总结起草的。符合当前</w:t>
      </w:r>
      <w:r>
        <w:rPr>
          <w:rFonts w:hint="eastAsia" w:eastAsia="仿宋_GB2312" w:cs="Times New Roman"/>
          <w:sz w:val="28"/>
          <w:szCs w:val="28"/>
          <w:highlight w:val="none"/>
          <w:lang w:val="en-US" w:eastAsia="zh-CN"/>
        </w:rPr>
        <w:t>广西地区</w:t>
      </w:r>
      <w:r>
        <w:rPr>
          <w:rFonts w:hint="eastAsia" w:eastAsia="仿宋" w:cs="Times New Roman"/>
          <w:kern w:val="0"/>
          <w:sz w:val="28"/>
          <w:szCs w:val="28"/>
          <w:highlight w:val="none"/>
          <w:lang w:val="en-US" w:eastAsia="zh-CN"/>
        </w:rPr>
        <w:t>王莲栽培技术要求和</w:t>
      </w:r>
      <w:r>
        <w:rPr>
          <w:rFonts w:hint="eastAsia" w:eastAsia="仿宋_GB2312" w:cs="Times New Roman"/>
          <w:sz w:val="28"/>
          <w:szCs w:val="28"/>
          <w:highlight w:val="none"/>
          <w:lang w:val="en-US" w:eastAsia="zh-CN"/>
        </w:rPr>
        <w:t>市场需求的发展</w:t>
      </w:r>
      <w:r>
        <w:rPr>
          <w:rFonts w:hint="default" w:ascii="Times New Roman" w:hAnsi="Times New Roman" w:eastAsia="仿宋_GB2312" w:cs="Times New Roman"/>
          <w:sz w:val="28"/>
          <w:szCs w:val="28"/>
          <w:highlight w:val="none"/>
        </w:rPr>
        <w:t>方向，</w:t>
      </w:r>
      <w:r>
        <w:rPr>
          <w:rFonts w:hint="eastAsia" w:eastAsia="仿宋_GB2312" w:cs="Times New Roman"/>
          <w:sz w:val="28"/>
          <w:szCs w:val="28"/>
          <w:highlight w:val="none"/>
          <w:lang w:val="en-US" w:eastAsia="zh-CN"/>
        </w:rPr>
        <w:t>从</w:t>
      </w:r>
      <w:r>
        <w:rPr>
          <w:rFonts w:hint="default" w:ascii="Times New Roman" w:hAnsi="Times New Roman" w:eastAsia="仿宋_GB2312" w:cs="Times New Roman"/>
          <w:sz w:val="28"/>
          <w:szCs w:val="28"/>
          <w:highlight w:val="none"/>
        </w:rPr>
        <w:t>行业的长远发展</w:t>
      </w:r>
      <w:r>
        <w:rPr>
          <w:rFonts w:hint="eastAsia" w:eastAsia="仿宋_GB2312" w:cs="Times New Roman"/>
          <w:sz w:val="28"/>
          <w:szCs w:val="28"/>
          <w:highlight w:val="none"/>
          <w:lang w:val="en-US" w:eastAsia="zh-CN"/>
        </w:rPr>
        <w:t>来看</w:t>
      </w:r>
      <w:r>
        <w:rPr>
          <w:rFonts w:hint="default" w:ascii="Times New Roman" w:hAnsi="Times New Roman" w:eastAsia="仿宋_GB2312" w:cs="Times New Roman"/>
          <w:sz w:val="28"/>
          <w:szCs w:val="28"/>
          <w:highlight w:val="none"/>
        </w:rPr>
        <w:t>，</w:t>
      </w:r>
      <w:r>
        <w:rPr>
          <w:rFonts w:hint="eastAsia" w:eastAsia="仿宋_GB2312" w:cs="Times New Roman"/>
          <w:sz w:val="28"/>
          <w:szCs w:val="28"/>
          <w:highlight w:val="none"/>
          <w:lang w:val="en-US" w:eastAsia="zh-CN"/>
        </w:rPr>
        <w:t>本标准的制定有利于王莲栽培技术的规范化、标准化</w:t>
      </w:r>
      <w:r>
        <w:rPr>
          <w:rFonts w:hint="default" w:ascii="Times New Roman" w:hAnsi="Times New Roman" w:eastAsia="仿宋_GB2312" w:cs="Times New Roman"/>
          <w:sz w:val="28"/>
          <w:szCs w:val="28"/>
          <w:highlight w:val="none"/>
          <w:lang w:eastAsia="zh-CN"/>
        </w:rPr>
        <w:t>，</w:t>
      </w:r>
      <w:r>
        <w:rPr>
          <w:rFonts w:hint="eastAsia" w:eastAsia="仿宋_GB2312" w:cs="Times New Roman"/>
          <w:sz w:val="28"/>
          <w:szCs w:val="28"/>
          <w:highlight w:val="none"/>
          <w:lang w:val="en-US" w:eastAsia="zh-CN"/>
        </w:rPr>
        <w:t>有助于延长王莲景观区域的快速形成，</w:t>
      </w:r>
      <w:r>
        <w:rPr>
          <w:rFonts w:hint="default" w:ascii="Times New Roman" w:hAnsi="Times New Roman" w:eastAsia="仿宋_GB2312" w:cs="Times New Roman"/>
          <w:sz w:val="28"/>
          <w:szCs w:val="28"/>
          <w:highlight w:val="none"/>
        </w:rPr>
        <w:t>提高</w:t>
      </w:r>
      <w:r>
        <w:rPr>
          <w:rFonts w:hint="eastAsia" w:eastAsia="仿宋_GB2312" w:cs="Times New Roman"/>
          <w:sz w:val="28"/>
          <w:szCs w:val="28"/>
          <w:highlight w:val="none"/>
          <w:lang w:val="en-US" w:eastAsia="zh-CN"/>
        </w:rPr>
        <w:t>王莲种苗繁育经营者和栽培应用使用者的经济效益和“桂派”花卉品牌的打造</w:t>
      </w:r>
      <w:r>
        <w:rPr>
          <w:rFonts w:hint="default" w:ascii="Times New Roman" w:hAnsi="Times New Roman" w:eastAsia="仿宋_GB2312" w:cs="Times New Roman"/>
          <w:sz w:val="28"/>
          <w:szCs w:val="28"/>
          <w:highlight w:val="none"/>
        </w:rPr>
        <w:t>，对推动我区</w:t>
      </w:r>
      <w:r>
        <w:rPr>
          <w:rFonts w:hint="eastAsia" w:eastAsia="仿宋" w:cs="Times New Roman"/>
          <w:kern w:val="0"/>
          <w:sz w:val="28"/>
          <w:szCs w:val="28"/>
          <w:highlight w:val="none"/>
          <w:lang w:val="en-US" w:eastAsia="zh-CN"/>
        </w:rPr>
        <w:t>园林花卉</w:t>
      </w:r>
      <w:r>
        <w:rPr>
          <w:rFonts w:hint="default" w:ascii="Times New Roman" w:hAnsi="Times New Roman" w:eastAsia="仿宋_GB2312" w:cs="Times New Roman"/>
          <w:sz w:val="28"/>
          <w:szCs w:val="28"/>
          <w:highlight w:val="none"/>
        </w:rPr>
        <w:t>产业</w:t>
      </w:r>
      <w:r>
        <w:rPr>
          <w:rFonts w:hint="eastAsia" w:eastAsia="仿宋_GB2312" w:cs="Times New Roman"/>
          <w:sz w:val="28"/>
          <w:szCs w:val="28"/>
          <w:highlight w:val="none"/>
          <w:lang w:val="en-US" w:eastAsia="zh-CN"/>
        </w:rPr>
        <w:t>提质增效</w:t>
      </w:r>
      <w:r>
        <w:rPr>
          <w:rFonts w:hint="default" w:ascii="Times New Roman" w:hAnsi="Times New Roman" w:eastAsia="仿宋_GB2312" w:cs="Times New Roman"/>
          <w:sz w:val="28"/>
          <w:szCs w:val="28"/>
          <w:highlight w:val="none"/>
        </w:rPr>
        <w:t>，促进</w:t>
      </w:r>
      <w:r>
        <w:rPr>
          <w:rFonts w:hint="eastAsia" w:eastAsia="仿宋_GB2312" w:cs="Times New Roman"/>
          <w:sz w:val="28"/>
          <w:szCs w:val="28"/>
          <w:highlight w:val="none"/>
          <w:lang w:val="en-US" w:eastAsia="zh-CN"/>
        </w:rPr>
        <w:t>生动、特色旅游发展</w:t>
      </w:r>
      <w:r>
        <w:rPr>
          <w:rFonts w:hint="default" w:ascii="Times New Roman" w:hAnsi="Times New Roman" w:eastAsia="仿宋_GB2312" w:cs="Times New Roman"/>
          <w:sz w:val="28"/>
          <w:szCs w:val="28"/>
          <w:highlight w:val="none"/>
        </w:rPr>
        <w:t>，具有较强的实用性和可操作性。</w:t>
      </w:r>
    </w:p>
    <w:p w14:paraId="4882B465">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2、协调性原则</w:t>
      </w:r>
    </w:p>
    <w:p w14:paraId="137D95E0">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本文件编写过程中注意了与</w:t>
      </w:r>
      <w:r>
        <w:rPr>
          <w:rFonts w:hint="eastAsia" w:eastAsia="仿宋" w:cs="Times New Roman"/>
          <w:kern w:val="0"/>
          <w:sz w:val="28"/>
          <w:szCs w:val="28"/>
          <w:highlight w:val="none"/>
          <w:lang w:val="en-US" w:eastAsia="zh-CN"/>
        </w:rPr>
        <w:t>王莲栽培技术</w:t>
      </w:r>
      <w:r>
        <w:rPr>
          <w:rFonts w:hint="default" w:ascii="Times New Roman" w:hAnsi="Times New Roman" w:eastAsia="仿宋_GB2312" w:cs="Times New Roman"/>
          <w:sz w:val="28"/>
          <w:szCs w:val="28"/>
          <w:highlight w:val="none"/>
        </w:rPr>
        <w:t>相关法律法规的协调问题，在内容上与现行法律法规、标准协调一致。</w:t>
      </w:r>
    </w:p>
    <w:p w14:paraId="673EAC07">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3、规范性原则</w:t>
      </w:r>
    </w:p>
    <w:p w14:paraId="135416FA">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本文件严格按照GB/T 1.1</w:t>
      </w:r>
      <w:r>
        <w:rPr>
          <w:rFonts w:hint="default" w:ascii="Times New Roman" w:hAnsi="Times New Roman" w:eastAsia="仿宋_GB2312" w:cs="Times New Roman"/>
          <w:sz w:val="28"/>
          <w:szCs w:val="28"/>
          <w:highlight w:val="none"/>
          <w:lang w:val="en-US" w:eastAsia="zh-CN"/>
        </w:rPr>
        <w:t>-</w:t>
      </w:r>
      <w:r>
        <w:rPr>
          <w:rFonts w:hint="default" w:ascii="Times New Roman" w:hAnsi="Times New Roman" w:eastAsia="仿宋_GB2312" w:cs="Times New Roman"/>
          <w:sz w:val="28"/>
          <w:szCs w:val="28"/>
          <w:highlight w:val="none"/>
        </w:rPr>
        <w:t>2020《标准化工作导则 第1部分：标准化文件的结构和起草规则》的要求和规定编写本标准的内容，保证标准的编写质量。</w:t>
      </w:r>
    </w:p>
    <w:p w14:paraId="7AE92030">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4、前瞻性原则</w:t>
      </w:r>
    </w:p>
    <w:p w14:paraId="2F6A1667">
      <w:pPr>
        <w:keepNext w:val="0"/>
        <w:keepLines w:val="0"/>
        <w:pageBreakBefore w:val="0"/>
        <w:widowControl w:val="0"/>
        <w:kinsoku/>
        <w:wordWrap/>
        <w:overflowPunct/>
        <w:topLinePunct w:val="0"/>
        <w:autoSpaceDE/>
        <w:autoSpaceDN/>
        <w:bidi w:val="0"/>
        <w:adjustRightInd w:val="0"/>
        <w:snapToGrid w:val="0"/>
        <w:spacing w:line="440" w:lineRule="exact"/>
        <w:ind w:firstLine="560" w:firstLineChars="200"/>
        <w:textAlignment w:val="auto"/>
        <w:rPr>
          <w:rFonts w:hint="default" w:ascii="Times New Roman" w:hAnsi="Times New Roman" w:eastAsia="仿宋_GB2312" w:cs="Times New Roman"/>
          <w:sz w:val="28"/>
          <w:szCs w:val="28"/>
          <w:highlight w:val="none"/>
        </w:rPr>
      </w:pPr>
      <w:r>
        <w:rPr>
          <w:rFonts w:hint="default" w:ascii="Times New Roman" w:hAnsi="Times New Roman" w:eastAsia="仿宋_GB2312" w:cs="Times New Roman"/>
          <w:sz w:val="28"/>
          <w:szCs w:val="28"/>
          <w:highlight w:val="none"/>
        </w:rPr>
        <w:t>本文件在兼顾当前</w:t>
      </w:r>
      <w:r>
        <w:rPr>
          <w:rFonts w:hint="eastAsia" w:eastAsia="仿宋_GB2312" w:cs="Times New Roman"/>
          <w:sz w:val="28"/>
          <w:szCs w:val="28"/>
          <w:highlight w:val="none"/>
          <w:lang w:val="en-US" w:eastAsia="zh-CN"/>
        </w:rPr>
        <w:t>广西区</w:t>
      </w:r>
      <w:r>
        <w:rPr>
          <w:rFonts w:hint="default" w:ascii="Times New Roman" w:hAnsi="Times New Roman" w:eastAsia="仿宋_GB2312" w:cs="Times New Roman"/>
          <w:sz w:val="28"/>
          <w:szCs w:val="28"/>
          <w:highlight w:val="none"/>
        </w:rPr>
        <w:t>内</w:t>
      </w:r>
      <w:r>
        <w:rPr>
          <w:rFonts w:hint="eastAsia" w:eastAsia="仿宋" w:cs="Times New Roman"/>
          <w:kern w:val="0"/>
          <w:sz w:val="28"/>
          <w:szCs w:val="28"/>
          <w:highlight w:val="none"/>
          <w:lang w:val="en-US" w:eastAsia="zh-CN"/>
        </w:rPr>
        <w:t>王莲栽培应用的现状需求</w:t>
      </w:r>
      <w:r>
        <w:rPr>
          <w:rFonts w:hint="default" w:ascii="Times New Roman" w:hAnsi="Times New Roman" w:eastAsia="仿宋_GB2312" w:cs="Times New Roman"/>
          <w:sz w:val="28"/>
          <w:szCs w:val="28"/>
          <w:highlight w:val="none"/>
        </w:rPr>
        <w:t>的同时，还考虑到了</w:t>
      </w:r>
      <w:r>
        <w:rPr>
          <w:rFonts w:hint="eastAsia" w:eastAsia="仿宋" w:cs="Times New Roman"/>
          <w:kern w:val="0"/>
          <w:sz w:val="28"/>
          <w:szCs w:val="28"/>
          <w:highlight w:val="none"/>
          <w:lang w:val="en-US" w:eastAsia="zh-CN"/>
        </w:rPr>
        <w:t>王莲栽培技术市场需求快速发展的趋势</w:t>
      </w:r>
      <w:r>
        <w:rPr>
          <w:rFonts w:hint="default" w:ascii="Times New Roman" w:hAnsi="Times New Roman" w:eastAsia="仿宋_GB2312" w:cs="Times New Roman"/>
          <w:sz w:val="28"/>
          <w:szCs w:val="28"/>
          <w:highlight w:val="none"/>
        </w:rPr>
        <w:t>，在标准中体现了个别特色性、前瞻性和先进性条款，作为对</w:t>
      </w:r>
      <w:r>
        <w:rPr>
          <w:rFonts w:hint="eastAsia" w:eastAsia="仿宋_GB2312" w:cs="Times New Roman"/>
          <w:sz w:val="28"/>
          <w:szCs w:val="28"/>
          <w:highlight w:val="none"/>
          <w:lang w:val="en-US" w:eastAsia="zh-CN"/>
        </w:rPr>
        <w:t>王莲栽培</w:t>
      </w:r>
      <w:r>
        <w:rPr>
          <w:rFonts w:hint="default" w:ascii="Times New Roman" w:hAnsi="Times New Roman" w:eastAsia="仿宋_GB2312" w:cs="Times New Roman"/>
          <w:sz w:val="28"/>
          <w:szCs w:val="28"/>
          <w:highlight w:val="none"/>
        </w:rPr>
        <w:t>技术发展的指导。</w:t>
      </w:r>
    </w:p>
    <w:p w14:paraId="0C7E049C">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2" w:firstLineChars="200"/>
        <w:textAlignment w:val="auto"/>
        <w:rPr>
          <w:rFonts w:hint="default" w:ascii="Times New Roman" w:hAnsi="Times New Roman" w:eastAsia="仿宋_GB2312" w:cs="Times New Roman"/>
          <w:sz w:val="28"/>
          <w:szCs w:val="28"/>
          <w:highlight w:val="none"/>
        </w:rPr>
      </w:pPr>
      <w:r>
        <w:rPr>
          <w:rFonts w:hint="eastAsia" w:ascii="Times New Roman" w:hAnsi="Times New Roman" w:eastAsia="仿宋_GB2312" w:cs="Times New Roman"/>
          <w:b/>
          <w:sz w:val="28"/>
          <w:szCs w:val="28"/>
          <w:highlight w:val="none"/>
          <w:lang w:eastAsia="zh-CN"/>
        </w:rPr>
        <w:t>（</w:t>
      </w:r>
      <w:r>
        <w:rPr>
          <w:rFonts w:hint="eastAsia" w:ascii="Times New Roman" w:hAnsi="Times New Roman" w:eastAsia="仿宋_GB2312" w:cs="Times New Roman"/>
          <w:b/>
          <w:sz w:val="28"/>
          <w:szCs w:val="28"/>
          <w:highlight w:val="none"/>
          <w:lang w:val="en-US" w:eastAsia="zh-CN"/>
        </w:rPr>
        <w:t>二</w:t>
      </w:r>
      <w:r>
        <w:rPr>
          <w:rFonts w:hint="eastAsia" w:ascii="Times New Roman" w:hAnsi="Times New Roman" w:eastAsia="仿宋_GB2312" w:cs="Times New Roman"/>
          <w:b/>
          <w:sz w:val="28"/>
          <w:szCs w:val="28"/>
          <w:highlight w:val="none"/>
          <w:lang w:eastAsia="zh-CN"/>
        </w:rPr>
        <w:t>）与现行法律、法规的关系，与有关国家标准、行业标准的协调情况</w:t>
      </w:r>
    </w:p>
    <w:p w14:paraId="480F1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val="0"/>
        <w:snapToGrid w:val="0"/>
        <w:spacing w:before="0" w:beforeAutospacing="0" w:after="0" w:afterAutospacing="0" w:line="440" w:lineRule="exact"/>
        <w:ind w:left="0" w:right="0" w:firstLine="560" w:firstLineChars="200"/>
        <w:textAlignment w:val="auto"/>
        <w:rPr>
          <w:rFonts w:hint="default" w:ascii="Times New Roman" w:hAnsi="Times New Roman" w:eastAsia="仿宋_GB2312" w:cs="Times New Roman"/>
          <w:sz w:val="28"/>
          <w:szCs w:val="28"/>
          <w:highlight w:val="none"/>
        </w:rPr>
      </w:pPr>
      <w:r>
        <w:rPr>
          <w:rFonts w:hint="eastAsia" w:ascii="Times New Roman" w:hAnsi="Times New Roman" w:eastAsia="仿宋_GB2312" w:cs="Times New Roman"/>
          <w:b w:val="0"/>
          <w:bCs w:val="0"/>
          <w:sz w:val="28"/>
          <w:szCs w:val="28"/>
          <w:highlight w:val="none"/>
          <w:lang w:val="en-US" w:eastAsia="zh-CN"/>
        </w:rPr>
        <w:t>本文件内容不违反现行法律、法规</w:t>
      </w:r>
      <w:r>
        <w:rPr>
          <w:rFonts w:hint="default" w:ascii="Times New Roman" w:hAnsi="Times New Roman" w:eastAsia="仿宋_GB2312" w:cs="Times New Roman"/>
          <w:b w:val="0"/>
          <w:bCs w:val="0"/>
          <w:sz w:val="28"/>
          <w:szCs w:val="28"/>
          <w:highlight w:val="none"/>
        </w:rPr>
        <w:t>，在内容上与现行法律法规、标准</w:t>
      </w:r>
      <w:r>
        <w:rPr>
          <w:rFonts w:hint="eastAsia" w:ascii="Times New Roman" w:hAnsi="Times New Roman" w:eastAsia="仿宋_GB2312" w:cs="Times New Roman"/>
          <w:b w:val="0"/>
          <w:bCs w:val="0"/>
          <w:sz w:val="28"/>
          <w:szCs w:val="28"/>
          <w:highlight w:val="none"/>
          <w:lang w:val="en-US" w:eastAsia="zh-CN"/>
        </w:rPr>
        <w:t>和</w:t>
      </w:r>
      <w:r>
        <w:rPr>
          <w:rFonts w:hint="eastAsia" w:ascii="Times New Roman" w:hAnsi="Times New Roman" w:eastAsia="仿宋_GB2312" w:cs="Times New Roman"/>
          <w:b w:val="0"/>
          <w:bCs w:val="0"/>
          <w:sz w:val="28"/>
          <w:szCs w:val="28"/>
          <w:highlight w:val="none"/>
          <w:lang w:eastAsia="zh-CN"/>
        </w:rPr>
        <w:t>关国家标准、行业</w:t>
      </w:r>
      <w:r>
        <w:rPr>
          <w:rFonts w:hint="default" w:ascii="Times New Roman" w:hAnsi="Times New Roman" w:eastAsia="仿宋_GB2312" w:cs="Times New Roman"/>
          <w:b w:val="0"/>
          <w:bCs w:val="0"/>
          <w:sz w:val="28"/>
          <w:szCs w:val="28"/>
          <w:highlight w:val="none"/>
        </w:rPr>
        <w:t>协调一致</w:t>
      </w:r>
      <w:r>
        <w:rPr>
          <w:rFonts w:hint="eastAsia" w:ascii="Times New Roman" w:hAnsi="Times New Roman" w:eastAsia="仿宋_GB2312" w:cs="Times New Roman"/>
          <w:b w:val="0"/>
          <w:bCs w:val="0"/>
          <w:sz w:val="28"/>
          <w:szCs w:val="28"/>
          <w:highlight w:val="none"/>
          <w:lang w:eastAsia="zh-CN"/>
        </w:rPr>
        <w:t>。</w:t>
      </w:r>
      <w:r>
        <w:rPr>
          <w:rFonts w:hint="default" w:ascii="Times New Roman" w:hAnsi="Times New Roman" w:eastAsia="仿宋_GB2312" w:cs="Times New Roman"/>
          <w:b w:val="0"/>
          <w:bCs w:val="0"/>
          <w:kern w:val="2"/>
          <w:sz w:val="28"/>
          <w:szCs w:val="28"/>
          <w:highlight w:val="none"/>
          <w:lang w:val="en-US" w:eastAsia="zh-CN" w:bidi="ar-SA"/>
        </w:rPr>
        <w:t>据查阅，目前国内</w:t>
      </w:r>
      <w:r>
        <w:rPr>
          <w:rFonts w:hint="eastAsia" w:ascii="Times New Roman" w:hAnsi="Times New Roman" w:eastAsia="仿宋_GB2312" w:cs="Times New Roman"/>
          <w:b w:val="0"/>
          <w:bCs w:val="0"/>
          <w:kern w:val="2"/>
          <w:sz w:val="28"/>
          <w:szCs w:val="28"/>
          <w:highlight w:val="none"/>
          <w:lang w:val="en-US" w:eastAsia="zh-CN" w:bidi="ar-SA"/>
        </w:rPr>
        <w:t>尚未有王莲栽培技术方面的标准</w:t>
      </w:r>
      <w:r>
        <w:rPr>
          <w:rFonts w:hint="default" w:ascii="Times New Roman" w:hAnsi="Times New Roman" w:eastAsia="仿宋_GB2312" w:cs="Times New Roman"/>
          <w:b w:val="0"/>
          <w:bCs w:val="0"/>
          <w:kern w:val="2"/>
          <w:sz w:val="28"/>
          <w:szCs w:val="28"/>
          <w:highlight w:val="none"/>
          <w:lang w:val="zh-CN" w:eastAsia="zh-CN" w:bidi="ar-SA"/>
        </w:rPr>
        <w:t>。</w:t>
      </w:r>
    </w:p>
    <w:p w14:paraId="74BF3B0A">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eastAsia" w:eastAsia="黑体" w:cs="Times New Roman"/>
          <w:color w:val="auto"/>
          <w:sz w:val="32"/>
          <w:szCs w:val="32"/>
          <w:highlight w:val="none"/>
          <w:lang w:val="en-US" w:eastAsia="zh-CN"/>
        </w:rPr>
      </w:pPr>
      <w:bookmarkStart w:id="1" w:name="_Toc526940084"/>
      <w:r>
        <w:rPr>
          <w:rFonts w:hint="default" w:ascii="Times New Roman" w:hAnsi="Times New Roman" w:eastAsia="黑体" w:cs="Times New Roman"/>
          <w:color w:val="auto"/>
          <w:sz w:val="32"/>
          <w:szCs w:val="32"/>
          <w:highlight w:val="none"/>
          <w:lang w:eastAsia="zh-CN"/>
        </w:rPr>
        <w:t>五、</w:t>
      </w:r>
      <w:bookmarkEnd w:id="1"/>
      <w:r>
        <w:rPr>
          <w:rFonts w:hint="eastAsia" w:eastAsia="黑体" w:cs="Times New Roman"/>
          <w:color w:val="auto"/>
          <w:sz w:val="32"/>
          <w:szCs w:val="32"/>
          <w:highlight w:val="none"/>
          <w:lang w:val="en-US" w:eastAsia="zh-CN"/>
        </w:rPr>
        <w:t>主要条款的说明，主要技术及指标、参数、试验验证的论述</w:t>
      </w:r>
    </w:p>
    <w:p w14:paraId="3B6F091A">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2" w:firstLineChars="200"/>
        <w:textAlignment w:val="auto"/>
        <w:rPr>
          <w:rFonts w:hint="default" w:eastAsia="黑体" w:cs="Times New Roman"/>
          <w:color w:val="auto"/>
          <w:sz w:val="32"/>
          <w:szCs w:val="32"/>
          <w:highlight w:val="none"/>
          <w:lang w:val="en-US" w:eastAsia="zh-CN"/>
        </w:rPr>
      </w:pPr>
      <w:r>
        <w:rPr>
          <w:rFonts w:hint="eastAsia" w:ascii="Times New Roman" w:hAnsi="Times New Roman" w:eastAsia="仿宋_GB2312" w:cs="Times New Roman"/>
          <w:b/>
          <w:sz w:val="28"/>
          <w:szCs w:val="28"/>
          <w:highlight w:val="none"/>
          <w:lang w:eastAsia="zh-CN"/>
        </w:rPr>
        <w:t>（</w:t>
      </w:r>
      <w:r>
        <w:rPr>
          <w:rFonts w:hint="eastAsia" w:ascii="Times New Roman" w:hAnsi="Times New Roman" w:eastAsia="仿宋_GB2312" w:cs="Times New Roman"/>
          <w:b/>
          <w:sz w:val="28"/>
          <w:szCs w:val="28"/>
          <w:highlight w:val="none"/>
          <w:lang w:val="en-US" w:eastAsia="zh-CN"/>
        </w:rPr>
        <w:t>一</w:t>
      </w:r>
      <w:r>
        <w:rPr>
          <w:rFonts w:hint="eastAsia" w:ascii="Times New Roman" w:hAnsi="Times New Roman" w:eastAsia="仿宋_GB2312" w:cs="Times New Roman"/>
          <w:b/>
          <w:sz w:val="28"/>
          <w:szCs w:val="28"/>
          <w:highlight w:val="none"/>
          <w:lang w:eastAsia="zh-CN"/>
        </w:rPr>
        <w:t>）主要条款的说明</w:t>
      </w:r>
    </w:p>
    <w:p w14:paraId="61363FE8">
      <w:pPr>
        <w:keepNext w:val="0"/>
        <w:keepLines w:val="0"/>
        <w:pageBreakBefore w:val="0"/>
        <w:kinsoku/>
        <w:wordWrap/>
        <w:overflowPunct/>
        <w:topLinePunct w:val="0"/>
        <w:autoSpaceDE/>
        <w:autoSpaceDN/>
        <w:bidi w:val="0"/>
        <w:adjustRightInd w:val="0"/>
        <w:snapToGrid w:val="0"/>
        <w:spacing w:line="440" w:lineRule="exact"/>
        <w:ind w:firstLine="560" w:firstLineChars="200"/>
        <w:textAlignment w:val="auto"/>
        <w:rPr>
          <w:rFonts w:hint="eastAsia" w:eastAsia="仿宋" w:cs="Times New Roman"/>
          <w:kern w:val="0"/>
          <w:sz w:val="28"/>
          <w:szCs w:val="28"/>
          <w:highlight w:val="none"/>
          <w:lang w:val="en-US" w:eastAsia="zh-CN"/>
        </w:rPr>
      </w:pPr>
      <w:r>
        <w:rPr>
          <w:rFonts w:hint="eastAsia" w:eastAsia="仿宋_GB2312" w:cs="Times New Roman"/>
          <w:sz w:val="28"/>
          <w:szCs w:val="28"/>
          <w:highlight w:val="none"/>
          <w:lang w:val="en-US" w:eastAsia="zh-CN"/>
        </w:rPr>
        <w:t>本文件</w:t>
      </w:r>
      <w:r>
        <w:rPr>
          <w:rFonts w:hint="default" w:ascii="Times New Roman" w:hAnsi="Times New Roman" w:eastAsia="仿宋_GB2312" w:cs="Times New Roman"/>
          <w:sz w:val="28"/>
          <w:szCs w:val="28"/>
          <w:highlight w:val="none"/>
        </w:rPr>
        <w:t>主要章节内容包括：</w:t>
      </w:r>
      <w:r>
        <w:rPr>
          <w:rFonts w:hint="eastAsia" w:eastAsia="仿宋_GB2312" w:cs="Times New Roman"/>
          <w:sz w:val="28"/>
          <w:szCs w:val="28"/>
          <w:highlight w:val="none"/>
          <w:lang w:val="en-US" w:eastAsia="zh-CN"/>
        </w:rPr>
        <w:t>术语定义、</w:t>
      </w:r>
      <w:r>
        <w:rPr>
          <w:rFonts w:hint="default" w:ascii="Times New Roman" w:hAnsi="Times New Roman" w:eastAsia="仿宋_GB2312" w:cs="Times New Roman"/>
          <w:sz w:val="28"/>
          <w:szCs w:val="28"/>
          <w:highlight w:val="none"/>
        </w:rPr>
        <w:t>栽培</w:t>
      </w:r>
      <w:r>
        <w:rPr>
          <w:rFonts w:hint="eastAsia" w:eastAsia="仿宋_GB2312" w:cs="Times New Roman"/>
          <w:sz w:val="28"/>
          <w:szCs w:val="28"/>
          <w:highlight w:val="none"/>
          <w:lang w:val="en-US" w:eastAsia="zh-CN"/>
        </w:rPr>
        <w:t>区域</w:t>
      </w:r>
      <w:r>
        <w:rPr>
          <w:rFonts w:hint="eastAsia" w:eastAsia="仿宋_GB2312" w:cs="Times New Roman"/>
          <w:sz w:val="28"/>
          <w:szCs w:val="28"/>
          <w:highlight w:val="none"/>
          <w:lang w:eastAsia="zh-CN"/>
        </w:rPr>
        <w:t>、</w:t>
      </w:r>
      <w:r>
        <w:rPr>
          <w:rFonts w:hint="eastAsia" w:eastAsia="仿宋_GB2312" w:cs="Times New Roman"/>
          <w:sz w:val="28"/>
          <w:szCs w:val="28"/>
          <w:highlight w:val="none"/>
          <w:lang w:val="en-US" w:eastAsia="zh-CN"/>
        </w:rPr>
        <w:t>种植场地、种苗培育</w:t>
      </w:r>
      <w:r>
        <w:rPr>
          <w:rFonts w:hint="default" w:ascii="Times New Roman" w:hAnsi="Times New Roman" w:eastAsia="仿宋_GB2312" w:cs="Times New Roman"/>
          <w:sz w:val="28"/>
          <w:szCs w:val="28"/>
          <w:highlight w:val="none"/>
        </w:rPr>
        <w:t>、有害生物防治和残株清理等技术要求</w:t>
      </w:r>
      <w:r>
        <w:rPr>
          <w:rFonts w:hint="default" w:ascii="Times New Roman" w:hAnsi="Times New Roman" w:eastAsia="仿宋_GB2312" w:cs="Times New Roman"/>
          <w:kern w:val="2"/>
          <w:sz w:val="28"/>
          <w:szCs w:val="28"/>
          <w:highlight w:val="none"/>
          <w:lang w:val="en-US" w:eastAsia="zh-CN" w:bidi="ar-SA"/>
        </w:rPr>
        <w:t>。其中</w:t>
      </w:r>
      <w:r>
        <w:rPr>
          <w:rFonts w:hint="default" w:ascii="Times New Roman" w:hAnsi="Times New Roman" w:eastAsia="仿宋_GB2312" w:cs="Times New Roman"/>
          <w:sz w:val="28"/>
          <w:szCs w:val="28"/>
          <w:highlight w:val="none"/>
        </w:rPr>
        <w:t>种子采收、催芽、小苗培育、栽培、有害生物防治主要依据</w:t>
      </w:r>
      <w:r>
        <w:rPr>
          <w:rFonts w:hint="eastAsia" w:eastAsia="仿宋" w:cs="Times New Roman"/>
          <w:kern w:val="0"/>
          <w:sz w:val="28"/>
          <w:szCs w:val="28"/>
          <w:highlight w:val="none"/>
          <w:lang w:val="en-US" w:eastAsia="zh-CN"/>
        </w:rPr>
        <w:t>南宁市人民公园、</w:t>
      </w:r>
      <w:r>
        <w:rPr>
          <w:rFonts w:hint="default" w:ascii="Times New Roman" w:hAnsi="Times New Roman" w:eastAsia="仿宋" w:cs="Times New Roman"/>
          <w:kern w:val="0"/>
          <w:sz w:val="28"/>
          <w:szCs w:val="28"/>
          <w:highlight w:val="none"/>
          <w:lang w:val="zh-CN"/>
        </w:rPr>
        <w:t>广西壮族自治区亚热带作物研究所、柳州市园博园管理处、钦州市鑫荷花卉种植农场</w:t>
      </w:r>
      <w:r>
        <w:rPr>
          <w:rFonts w:hint="eastAsia" w:eastAsia="仿宋_GB2312" w:cs="Times New Roman"/>
          <w:sz w:val="28"/>
          <w:szCs w:val="28"/>
          <w:highlight w:val="none"/>
          <w:lang w:val="en-US" w:eastAsia="zh-CN"/>
        </w:rPr>
        <w:t>多年生产研究</w:t>
      </w:r>
      <w:r>
        <w:rPr>
          <w:rFonts w:hint="default" w:ascii="Times New Roman" w:hAnsi="Times New Roman" w:eastAsia="仿宋_GB2312" w:cs="Times New Roman"/>
          <w:sz w:val="28"/>
          <w:szCs w:val="28"/>
          <w:highlight w:val="none"/>
        </w:rPr>
        <w:t>经验</w:t>
      </w:r>
      <w:r>
        <w:rPr>
          <w:rFonts w:hint="eastAsia" w:eastAsia="仿宋_GB2312" w:cs="Times New Roman"/>
          <w:sz w:val="28"/>
          <w:szCs w:val="28"/>
          <w:highlight w:val="none"/>
          <w:lang w:eastAsia="zh-CN"/>
        </w:rPr>
        <w:t>、</w:t>
      </w:r>
      <w:r>
        <w:rPr>
          <w:rFonts w:hint="eastAsia" w:eastAsia="仿宋_GB2312" w:cs="Times New Roman"/>
          <w:sz w:val="28"/>
          <w:szCs w:val="28"/>
          <w:highlight w:val="none"/>
          <w:lang w:val="en-US" w:eastAsia="zh-CN"/>
        </w:rPr>
        <w:t>试验确定</w:t>
      </w:r>
      <w:r>
        <w:rPr>
          <w:rFonts w:hint="eastAsia" w:eastAsia="仿宋_GB2312" w:cs="Times New Roman"/>
          <w:sz w:val="28"/>
          <w:szCs w:val="28"/>
          <w:highlight w:val="none"/>
          <w:lang w:eastAsia="zh-CN"/>
        </w:rPr>
        <w:t>。</w:t>
      </w:r>
    </w:p>
    <w:p w14:paraId="1C3EA05E">
      <w:pPr>
        <w:keepNext w:val="0"/>
        <w:keepLines w:val="0"/>
        <w:pageBreakBefore w:val="0"/>
        <w:kinsoku/>
        <w:wordWrap/>
        <w:overflowPunct/>
        <w:topLinePunct w:val="0"/>
        <w:autoSpaceDE w:val="0"/>
        <w:autoSpaceDN w:val="0"/>
        <w:bidi w:val="0"/>
        <w:adjustRightInd w:val="0"/>
        <w:snapToGrid w:val="0"/>
        <w:spacing w:line="440" w:lineRule="exact"/>
        <w:ind w:firstLine="562" w:firstLineChars="200"/>
        <w:jc w:val="left"/>
        <w:textAlignment w:val="auto"/>
        <w:rPr>
          <w:rFonts w:hint="eastAsia" w:eastAsia="黑体" w:cs="Times New Roman"/>
          <w:color w:val="auto"/>
          <w:sz w:val="32"/>
          <w:szCs w:val="32"/>
          <w:highlight w:val="none"/>
          <w:lang w:val="en-US" w:eastAsia="zh-CN"/>
        </w:rPr>
      </w:pPr>
      <w:r>
        <w:rPr>
          <w:rFonts w:hint="eastAsia" w:ascii="Times New Roman" w:hAnsi="Times New Roman" w:eastAsia="仿宋_GB2312" w:cs="Times New Roman"/>
          <w:b/>
          <w:sz w:val="28"/>
          <w:szCs w:val="28"/>
          <w:highlight w:val="none"/>
          <w:lang w:eastAsia="zh-CN"/>
        </w:rPr>
        <w:t>（</w:t>
      </w:r>
      <w:r>
        <w:rPr>
          <w:rFonts w:hint="eastAsia" w:eastAsia="仿宋_GB2312" w:cs="Times New Roman"/>
          <w:b/>
          <w:sz w:val="28"/>
          <w:szCs w:val="28"/>
          <w:highlight w:val="none"/>
          <w:lang w:val="en-US" w:eastAsia="zh-CN"/>
        </w:rPr>
        <w:t>二）</w:t>
      </w:r>
      <w:r>
        <w:rPr>
          <w:rFonts w:hint="eastAsia" w:ascii="Times New Roman" w:hAnsi="Times New Roman" w:eastAsia="仿宋_GB2312" w:cs="Times New Roman"/>
          <w:b/>
          <w:sz w:val="28"/>
          <w:szCs w:val="28"/>
          <w:highlight w:val="none"/>
          <w:lang w:val="en-US" w:eastAsia="zh-CN"/>
        </w:rPr>
        <w:t>主要技术及指标、参数、试验验证的论述</w:t>
      </w:r>
    </w:p>
    <w:p w14:paraId="5F316241">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0" w:firstLineChars="200"/>
        <w:textAlignment w:val="auto"/>
        <w:rPr>
          <w:rFonts w:hint="eastAsia" w:eastAsia="仿宋_GB2312" w:cs="Times New Roman"/>
          <w:sz w:val="28"/>
          <w:szCs w:val="28"/>
          <w:highlight w:val="none"/>
          <w:lang w:val="en-US" w:eastAsia="zh-CN"/>
        </w:rPr>
      </w:pPr>
      <w:r>
        <w:rPr>
          <w:rFonts w:hint="eastAsia" w:eastAsia="仿宋_GB2312" w:cs="Times New Roman"/>
          <w:sz w:val="28"/>
          <w:szCs w:val="28"/>
          <w:highlight w:val="none"/>
          <w:lang w:val="en-US" w:eastAsia="zh-CN"/>
        </w:rPr>
        <w:t>本文件</w:t>
      </w:r>
      <w:r>
        <w:rPr>
          <w:rFonts w:hint="default" w:ascii="Times New Roman" w:hAnsi="Times New Roman" w:eastAsia="仿宋_GB2312" w:cs="Times New Roman"/>
          <w:sz w:val="28"/>
          <w:szCs w:val="28"/>
          <w:highlight w:val="none"/>
        </w:rPr>
        <w:t>主要</w:t>
      </w:r>
      <w:r>
        <w:rPr>
          <w:rFonts w:hint="eastAsia" w:eastAsia="仿宋_GB2312" w:cs="Times New Roman"/>
          <w:sz w:val="28"/>
          <w:szCs w:val="28"/>
          <w:highlight w:val="none"/>
          <w:lang w:val="en-US" w:eastAsia="zh-CN"/>
        </w:rPr>
        <w:t>技术指标、参数、试验验证过程如下：</w:t>
      </w:r>
    </w:p>
    <w:p w14:paraId="0D8BD258">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firstLine="560" w:firstLineChars="200"/>
        <w:textAlignment w:val="auto"/>
        <w:rPr>
          <w:rFonts w:hint="default" w:eastAsia="仿宋_GB2312" w:cs="Times New Roman"/>
          <w:color w:val="auto"/>
          <w:sz w:val="28"/>
          <w:szCs w:val="28"/>
          <w:highlight w:val="none"/>
          <w:lang w:val="en-US" w:eastAsia="zh-CN"/>
        </w:rPr>
      </w:pPr>
      <w:r>
        <w:rPr>
          <w:rFonts w:hint="eastAsia" w:eastAsia="仿宋_GB2312" w:cs="Times New Roman"/>
          <w:color w:val="auto"/>
          <w:sz w:val="28"/>
          <w:szCs w:val="28"/>
          <w:highlight w:val="none"/>
          <w:lang w:val="en-US" w:eastAsia="zh-CN"/>
        </w:rPr>
        <w:t>1、种子采收时间和采收标准</w:t>
      </w:r>
    </w:p>
    <w:p w14:paraId="3AA47936">
      <w:pPr>
        <w:pStyle w:val="13"/>
        <w:spacing w:after="0" w:line="500" w:lineRule="exact"/>
        <w:jc w:val="center"/>
        <w:rPr>
          <w:rFonts w:ascii="Times New Roman" w:hAnsi="Times New Roman" w:eastAsia="仿宋_GB2312"/>
          <w:color w:val="auto"/>
          <w:sz w:val="24"/>
          <w:szCs w:val="24"/>
        </w:rPr>
      </w:pPr>
      <w:r>
        <w:rPr>
          <w:rFonts w:hint="eastAsia" w:ascii="Times New Roman" w:hAnsi="Times New Roman" w:eastAsia="仿宋_GB2312"/>
          <w:color w:val="auto"/>
          <w:sz w:val="24"/>
          <w:szCs w:val="24"/>
        </w:rPr>
        <w:t>表1 不同采收时间种子发芽率对比</w:t>
      </w:r>
    </w:p>
    <w:tbl>
      <w:tblPr>
        <w:tblStyle w:val="7"/>
        <w:tblW w:w="8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3231"/>
        <w:gridCol w:w="3141"/>
      </w:tblGrid>
      <w:tr w14:paraId="28F7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1" w:type="dxa"/>
            <w:vMerge w:val="restart"/>
            <w:tcBorders>
              <w:top w:val="single" w:color="auto" w:sz="4" w:space="0"/>
              <w:left w:val="nil"/>
              <w:right w:val="nil"/>
            </w:tcBorders>
            <w:noWrap w:val="0"/>
            <w:vAlign w:val="center"/>
          </w:tcPr>
          <w:p w14:paraId="6253D49E">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default" w:ascii="Times New Roman" w:hAnsi="Times New Roman" w:eastAsia="仿宋_GB2312"/>
                <w:color w:val="auto"/>
                <w:kern w:val="2"/>
              </w:rPr>
              <w:t>统计类目</w:t>
            </w:r>
          </w:p>
        </w:tc>
        <w:tc>
          <w:tcPr>
            <w:tcW w:w="6372" w:type="dxa"/>
            <w:gridSpan w:val="2"/>
            <w:tcBorders>
              <w:top w:val="single" w:color="auto" w:sz="4" w:space="0"/>
              <w:left w:val="nil"/>
              <w:bottom w:val="nil"/>
              <w:right w:val="nil"/>
            </w:tcBorders>
            <w:noWrap w:val="0"/>
            <w:vAlign w:val="center"/>
          </w:tcPr>
          <w:p w14:paraId="18E0AC4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采收时间</w:t>
            </w:r>
          </w:p>
        </w:tc>
      </w:tr>
      <w:tr w14:paraId="29DF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1" w:type="dxa"/>
            <w:vMerge w:val="continue"/>
            <w:tcBorders>
              <w:left w:val="nil"/>
              <w:bottom w:val="single" w:color="auto" w:sz="4" w:space="0"/>
              <w:right w:val="nil"/>
            </w:tcBorders>
            <w:noWrap w:val="0"/>
            <w:vAlign w:val="center"/>
          </w:tcPr>
          <w:p w14:paraId="502B8284">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p>
        </w:tc>
        <w:tc>
          <w:tcPr>
            <w:tcW w:w="3231" w:type="dxa"/>
            <w:tcBorders>
              <w:top w:val="single" w:color="auto" w:sz="4" w:space="0"/>
              <w:left w:val="nil"/>
              <w:bottom w:val="single" w:color="auto" w:sz="4" w:space="0"/>
              <w:right w:val="nil"/>
            </w:tcBorders>
            <w:noWrap w:val="0"/>
            <w:vAlign w:val="center"/>
          </w:tcPr>
          <w:p w14:paraId="5EA6C3EC">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8~9月</w:t>
            </w:r>
          </w:p>
        </w:tc>
        <w:tc>
          <w:tcPr>
            <w:tcW w:w="3141" w:type="dxa"/>
            <w:tcBorders>
              <w:top w:val="single" w:color="auto" w:sz="4" w:space="0"/>
              <w:left w:val="nil"/>
              <w:bottom w:val="single" w:color="auto" w:sz="4" w:space="0"/>
              <w:right w:val="nil"/>
            </w:tcBorders>
            <w:noWrap w:val="0"/>
            <w:vAlign w:val="center"/>
          </w:tcPr>
          <w:p w14:paraId="32BB7D4E">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10~11月</w:t>
            </w:r>
          </w:p>
        </w:tc>
      </w:tr>
      <w:tr w14:paraId="3EAC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1" w:type="dxa"/>
            <w:tcBorders>
              <w:top w:val="single" w:color="auto" w:sz="4" w:space="0"/>
              <w:left w:val="nil"/>
              <w:bottom w:val="nil"/>
              <w:right w:val="nil"/>
            </w:tcBorders>
            <w:noWrap w:val="0"/>
            <w:vAlign w:val="center"/>
          </w:tcPr>
          <w:p w14:paraId="22C6A7D1">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催芽总数</w:t>
            </w:r>
          </w:p>
        </w:tc>
        <w:tc>
          <w:tcPr>
            <w:tcW w:w="3231" w:type="dxa"/>
            <w:tcBorders>
              <w:top w:val="single" w:color="auto" w:sz="4" w:space="0"/>
              <w:left w:val="nil"/>
              <w:bottom w:val="nil"/>
              <w:right w:val="nil"/>
            </w:tcBorders>
            <w:noWrap w:val="0"/>
            <w:vAlign w:val="center"/>
          </w:tcPr>
          <w:p w14:paraId="1CD0DFD1">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50</w:t>
            </w:r>
          </w:p>
        </w:tc>
        <w:tc>
          <w:tcPr>
            <w:tcW w:w="3141" w:type="dxa"/>
            <w:tcBorders>
              <w:top w:val="single" w:color="auto" w:sz="4" w:space="0"/>
              <w:left w:val="nil"/>
              <w:bottom w:val="nil"/>
              <w:right w:val="nil"/>
            </w:tcBorders>
            <w:noWrap w:val="0"/>
            <w:vAlign w:val="center"/>
          </w:tcPr>
          <w:p w14:paraId="15959494">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50</w:t>
            </w:r>
          </w:p>
        </w:tc>
      </w:tr>
      <w:tr w14:paraId="2834C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1" w:type="dxa"/>
            <w:tcBorders>
              <w:top w:val="nil"/>
              <w:left w:val="nil"/>
              <w:bottom w:val="nil"/>
              <w:right w:val="nil"/>
            </w:tcBorders>
            <w:noWrap w:val="0"/>
            <w:vAlign w:val="center"/>
          </w:tcPr>
          <w:p w14:paraId="29AE0AF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发芽数</w:t>
            </w:r>
          </w:p>
        </w:tc>
        <w:tc>
          <w:tcPr>
            <w:tcW w:w="3231" w:type="dxa"/>
            <w:tcBorders>
              <w:top w:val="nil"/>
              <w:left w:val="nil"/>
              <w:bottom w:val="nil"/>
              <w:right w:val="nil"/>
            </w:tcBorders>
            <w:noWrap w:val="0"/>
            <w:vAlign w:val="center"/>
          </w:tcPr>
          <w:p w14:paraId="0C110D23">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13</w:t>
            </w:r>
          </w:p>
        </w:tc>
        <w:tc>
          <w:tcPr>
            <w:tcW w:w="3141" w:type="dxa"/>
            <w:tcBorders>
              <w:top w:val="nil"/>
              <w:left w:val="nil"/>
              <w:bottom w:val="nil"/>
              <w:right w:val="nil"/>
            </w:tcBorders>
            <w:noWrap w:val="0"/>
            <w:vAlign w:val="center"/>
          </w:tcPr>
          <w:p w14:paraId="2FC2DB1B">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12</w:t>
            </w:r>
          </w:p>
        </w:tc>
      </w:tr>
      <w:tr w14:paraId="4D40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1" w:type="dxa"/>
            <w:tcBorders>
              <w:top w:val="nil"/>
              <w:left w:val="nil"/>
              <w:bottom w:val="single" w:color="auto" w:sz="4" w:space="0"/>
              <w:right w:val="nil"/>
            </w:tcBorders>
            <w:noWrap w:val="0"/>
            <w:vAlign w:val="center"/>
          </w:tcPr>
          <w:p w14:paraId="5691951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发芽率</w:t>
            </w:r>
          </w:p>
        </w:tc>
        <w:tc>
          <w:tcPr>
            <w:tcW w:w="3231" w:type="dxa"/>
            <w:tcBorders>
              <w:top w:val="nil"/>
              <w:left w:val="nil"/>
              <w:bottom w:val="single" w:color="auto" w:sz="4" w:space="0"/>
              <w:right w:val="nil"/>
            </w:tcBorders>
            <w:noWrap w:val="0"/>
            <w:vAlign w:val="center"/>
          </w:tcPr>
          <w:p w14:paraId="6F4AE9F0">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26%</w:t>
            </w:r>
          </w:p>
        </w:tc>
        <w:tc>
          <w:tcPr>
            <w:tcW w:w="3141" w:type="dxa"/>
            <w:tcBorders>
              <w:top w:val="nil"/>
              <w:left w:val="nil"/>
              <w:bottom w:val="single" w:color="auto" w:sz="4" w:space="0"/>
              <w:right w:val="nil"/>
            </w:tcBorders>
            <w:noWrap w:val="0"/>
            <w:vAlign w:val="center"/>
          </w:tcPr>
          <w:p w14:paraId="2877517B">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24%</w:t>
            </w:r>
          </w:p>
        </w:tc>
      </w:tr>
    </w:tbl>
    <w:p w14:paraId="0E8237C0">
      <w:pPr>
        <w:pStyle w:val="13"/>
        <w:spacing w:after="0" w:line="500" w:lineRule="exact"/>
        <w:jc w:val="center"/>
        <w:rPr>
          <w:rFonts w:ascii="Times New Roman" w:hAnsi="Times New Roman" w:eastAsia="仿宋_GB2312"/>
          <w:color w:val="auto"/>
          <w:sz w:val="24"/>
          <w:szCs w:val="24"/>
        </w:rPr>
      </w:pPr>
      <w:r>
        <w:rPr>
          <w:rFonts w:hint="eastAsia" w:ascii="Times New Roman" w:hAnsi="Times New Roman" w:eastAsia="仿宋_GB2312"/>
          <w:color w:val="auto"/>
          <w:sz w:val="24"/>
          <w:szCs w:val="24"/>
        </w:rPr>
        <w:t>表2 不同直径果实内成熟种子数对比</w:t>
      </w:r>
    </w:p>
    <w:tbl>
      <w:tblPr>
        <w:tblStyle w:val="7"/>
        <w:tblW w:w="6683"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02"/>
        <w:gridCol w:w="1006"/>
        <w:gridCol w:w="990"/>
        <w:gridCol w:w="1368"/>
        <w:gridCol w:w="1117"/>
      </w:tblGrid>
      <w:tr w14:paraId="43C1B29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02" w:type="dxa"/>
            <w:tcBorders>
              <w:top w:val="single" w:color="auto" w:sz="4" w:space="0"/>
              <w:left w:val="nil"/>
              <w:bottom w:val="nil"/>
            </w:tcBorders>
            <w:noWrap w:val="0"/>
            <w:vAlign w:val="center"/>
          </w:tcPr>
          <w:p w14:paraId="088E2AB1">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default" w:ascii="Times New Roman" w:hAnsi="Times New Roman" w:eastAsia="仿宋_GB2312"/>
                <w:color w:val="auto"/>
                <w:kern w:val="2"/>
              </w:rPr>
              <w:t>果实直径</w:t>
            </w:r>
          </w:p>
        </w:tc>
        <w:tc>
          <w:tcPr>
            <w:tcW w:w="1006" w:type="dxa"/>
            <w:tcBorders>
              <w:top w:val="single" w:color="auto" w:sz="4" w:space="0"/>
              <w:bottom w:val="nil"/>
            </w:tcBorders>
            <w:noWrap w:val="0"/>
            <w:vAlign w:val="top"/>
          </w:tcPr>
          <w:p w14:paraId="394743B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7cm</w:t>
            </w:r>
          </w:p>
        </w:tc>
        <w:tc>
          <w:tcPr>
            <w:tcW w:w="990" w:type="dxa"/>
            <w:tcBorders>
              <w:top w:val="single" w:color="auto" w:sz="4" w:space="0"/>
              <w:bottom w:val="nil"/>
            </w:tcBorders>
            <w:noWrap w:val="0"/>
            <w:vAlign w:val="top"/>
          </w:tcPr>
          <w:p w14:paraId="6CD46B3E">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10cm</w:t>
            </w:r>
          </w:p>
        </w:tc>
        <w:tc>
          <w:tcPr>
            <w:tcW w:w="1368" w:type="dxa"/>
            <w:tcBorders>
              <w:top w:val="single" w:color="auto" w:sz="4" w:space="0"/>
              <w:bottom w:val="nil"/>
            </w:tcBorders>
            <w:noWrap w:val="0"/>
            <w:vAlign w:val="top"/>
          </w:tcPr>
          <w:p w14:paraId="6AF7371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13cm</w:t>
            </w:r>
          </w:p>
        </w:tc>
        <w:tc>
          <w:tcPr>
            <w:tcW w:w="1117" w:type="dxa"/>
            <w:tcBorders>
              <w:top w:val="single" w:color="auto" w:sz="4" w:space="0"/>
              <w:bottom w:val="nil"/>
              <w:right w:val="nil"/>
            </w:tcBorders>
            <w:noWrap w:val="0"/>
            <w:vAlign w:val="top"/>
          </w:tcPr>
          <w:p w14:paraId="34F4CAE9">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15cm</w:t>
            </w:r>
          </w:p>
        </w:tc>
      </w:tr>
      <w:tr w14:paraId="31B3AFE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02" w:type="dxa"/>
            <w:tcBorders>
              <w:top w:val="nil"/>
            </w:tcBorders>
            <w:noWrap w:val="0"/>
            <w:vAlign w:val="center"/>
          </w:tcPr>
          <w:p w14:paraId="513F716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default" w:ascii="Times New Roman" w:hAnsi="Times New Roman" w:eastAsia="仿宋_GB2312"/>
                <w:color w:val="auto"/>
                <w:kern w:val="2"/>
              </w:rPr>
              <w:t>成熟种子数</w:t>
            </w:r>
          </w:p>
        </w:tc>
        <w:tc>
          <w:tcPr>
            <w:tcW w:w="1006" w:type="dxa"/>
            <w:tcBorders>
              <w:top w:val="nil"/>
            </w:tcBorders>
            <w:noWrap w:val="0"/>
            <w:vAlign w:val="top"/>
          </w:tcPr>
          <w:p w14:paraId="6AF2FE54">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0</w:t>
            </w:r>
          </w:p>
        </w:tc>
        <w:tc>
          <w:tcPr>
            <w:tcW w:w="990" w:type="dxa"/>
            <w:tcBorders>
              <w:top w:val="nil"/>
            </w:tcBorders>
            <w:noWrap w:val="0"/>
            <w:vAlign w:val="top"/>
          </w:tcPr>
          <w:p w14:paraId="461DC8EC">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35</w:t>
            </w:r>
          </w:p>
        </w:tc>
        <w:tc>
          <w:tcPr>
            <w:tcW w:w="1368" w:type="dxa"/>
            <w:tcBorders>
              <w:top w:val="nil"/>
            </w:tcBorders>
            <w:noWrap w:val="0"/>
            <w:vAlign w:val="top"/>
          </w:tcPr>
          <w:p w14:paraId="6A46620F">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280</w:t>
            </w:r>
          </w:p>
        </w:tc>
        <w:tc>
          <w:tcPr>
            <w:tcW w:w="1117" w:type="dxa"/>
            <w:tcBorders>
              <w:top w:val="nil"/>
            </w:tcBorders>
            <w:noWrap w:val="0"/>
            <w:vAlign w:val="top"/>
          </w:tcPr>
          <w:p w14:paraId="3E453CF5">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410</w:t>
            </w:r>
          </w:p>
        </w:tc>
      </w:tr>
    </w:tbl>
    <w:p w14:paraId="73BFA0D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rPr>
        <w:t>8月~11月，取13cm以上的果实收种，从中选取种粒饱满的种子进行后期种苗培育</w:t>
      </w:r>
      <w:r>
        <w:rPr>
          <w:rFonts w:hint="eastAsia" w:ascii="Times New Roman" w:hAnsi="Times New Roman" w:eastAsia="仿宋_GB2312"/>
          <w:color w:val="auto"/>
          <w:sz w:val="24"/>
          <w:szCs w:val="24"/>
          <w:lang w:bidi="ar"/>
        </w:rPr>
        <w:t>。</w:t>
      </w:r>
    </w:p>
    <w:p w14:paraId="0A33D523">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firstLine="480" w:firstLineChars="200"/>
        <w:textAlignment w:val="auto"/>
        <w:rPr>
          <w:rFonts w:hint="eastAsia" w:eastAsia="仿宋_GB2312"/>
          <w:color w:val="auto"/>
          <w:sz w:val="24"/>
          <w:szCs w:val="24"/>
          <w:lang w:val="en-US" w:eastAsia="zh-CN" w:bidi="ar"/>
        </w:rPr>
      </w:pPr>
      <w:r>
        <w:rPr>
          <w:rFonts w:hint="eastAsia" w:eastAsia="仿宋_GB2312"/>
          <w:color w:val="auto"/>
          <w:sz w:val="24"/>
          <w:szCs w:val="24"/>
          <w:lang w:val="en-US" w:eastAsia="zh-CN" w:bidi="ar"/>
        </w:rPr>
        <w:t>种子保存方法</w:t>
      </w:r>
    </w:p>
    <w:p w14:paraId="764A7113">
      <w:pPr>
        <w:pStyle w:val="13"/>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仿宋_GB2312"/>
          <w:color w:val="auto"/>
          <w:sz w:val="24"/>
          <w:szCs w:val="24"/>
          <w:lang w:val="en-US" w:eastAsia="zh-CN"/>
        </w:rPr>
      </w:pPr>
      <w:r>
        <w:rPr>
          <w:rFonts w:hint="eastAsia" w:ascii="Times New Roman" w:hAnsi="Times New Roman" w:eastAsia="仿宋_GB2312"/>
          <w:color w:val="auto"/>
          <w:sz w:val="24"/>
          <w:szCs w:val="24"/>
        </w:rPr>
        <w:t>表</w:t>
      </w:r>
      <w:r>
        <w:rPr>
          <w:rFonts w:hint="eastAsia" w:eastAsia="仿宋_GB2312"/>
          <w:color w:val="auto"/>
          <w:sz w:val="24"/>
          <w:szCs w:val="24"/>
          <w:lang w:val="en-US" w:eastAsia="zh-CN"/>
        </w:rPr>
        <w:t>3</w:t>
      </w:r>
      <w:r>
        <w:rPr>
          <w:rFonts w:hint="eastAsia" w:ascii="Times New Roman" w:hAnsi="Times New Roman" w:eastAsia="仿宋_GB2312"/>
          <w:color w:val="auto"/>
          <w:sz w:val="24"/>
          <w:szCs w:val="24"/>
        </w:rPr>
        <w:t xml:space="preserve"> 不同</w:t>
      </w:r>
      <w:r>
        <w:rPr>
          <w:rFonts w:hint="eastAsia" w:eastAsia="仿宋_GB2312"/>
          <w:color w:val="auto"/>
          <w:sz w:val="24"/>
          <w:szCs w:val="24"/>
          <w:lang w:val="en-US" w:eastAsia="zh-CN"/>
        </w:rPr>
        <w:t>保存方式的种子发芽率</w:t>
      </w:r>
    </w:p>
    <w:tbl>
      <w:tblPr>
        <w:tblStyle w:val="7"/>
        <w:tblW w:w="9580"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71"/>
        <w:gridCol w:w="2474"/>
        <w:gridCol w:w="1566"/>
        <w:gridCol w:w="1901"/>
        <w:gridCol w:w="2168"/>
      </w:tblGrid>
      <w:tr w14:paraId="60B62E6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71" w:type="dxa"/>
            <w:tcBorders>
              <w:top w:val="single" w:color="auto" w:sz="4" w:space="0"/>
              <w:left w:val="nil"/>
              <w:bottom w:val="nil"/>
            </w:tcBorders>
            <w:noWrap w:val="0"/>
            <w:vAlign w:val="center"/>
          </w:tcPr>
          <w:p w14:paraId="4E08F18C">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保存方式</w:t>
            </w:r>
          </w:p>
        </w:tc>
        <w:tc>
          <w:tcPr>
            <w:tcW w:w="2474" w:type="dxa"/>
            <w:tcBorders>
              <w:top w:val="single" w:color="auto" w:sz="4" w:space="0"/>
              <w:bottom w:val="nil"/>
            </w:tcBorders>
            <w:noWrap w:val="0"/>
            <w:vAlign w:val="top"/>
          </w:tcPr>
          <w:p w14:paraId="5818F2BF">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种子晾干后干藏</w:t>
            </w:r>
          </w:p>
        </w:tc>
        <w:tc>
          <w:tcPr>
            <w:tcW w:w="1566" w:type="dxa"/>
            <w:tcBorders>
              <w:top w:val="single" w:color="auto" w:sz="4" w:space="0"/>
              <w:bottom w:val="nil"/>
            </w:tcBorders>
            <w:noWrap w:val="0"/>
            <w:vAlign w:val="top"/>
          </w:tcPr>
          <w:p w14:paraId="1B84E39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4℃低温湿藏</w:t>
            </w:r>
          </w:p>
        </w:tc>
        <w:tc>
          <w:tcPr>
            <w:tcW w:w="1901" w:type="dxa"/>
            <w:tcBorders>
              <w:top w:val="single" w:color="auto" w:sz="4" w:space="0"/>
              <w:bottom w:val="nil"/>
            </w:tcBorders>
            <w:noWrap w:val="0"/>
            <w:vAlign w:val="top"/>
          </w:tcPr>
          <w:p w14:paraId="22B0634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常温湿藏（南宁）</w:t>
            </w:r>
          </w:p>
        </w:tc>
        <w:tc>
          <w:tcPr>
            <w:tcW w:w="2168" w:type="dxa"/>
            <w:tcBorders>
              <w:top w:val="single" w:color="auto" w:sz="4" w:space="0"/>
              <w:bottom w:val="nil"/>
              <w:right w:val="nil"/>
            </w:tcBorders>
            <w:noWrap w:val="0"/>
            <w:vAlign w:val="top"/>
          </w:tcPr>
          <w:p w14:paraId="415F181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温棚湿藏（柳州）</w:t>
            </w:r>
          </w:p>
        </w:tc>
      </w:tr>
      <w:tr w14:paraId="3A8F69E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71" w:type="dxa"/>
            <w:tcBorders>
              <w:top w:val="nil"/>
              <w:bottom w:val="nil"/>
            </w:tcBorders>
            <w:noWrap w:val="0"/>
            <w:vAlign w:val="center"/>
          </w:tcPr>
          <w:p w14:paraId="7C92CDA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催芽总数</w:t>
            </w:r>
          </w:p>
        </w:tc>
        <w:tc>
          <w:tcPr>
            <w:tcW w:w="2474" w:type="dxa"/>
            <w:tcBorders>
              <w:top w:val="nil"/>
              <w:bottom w:val="nil"/>
            </w:tcBorders>
            <w:noWrap w:val="0"/>
            <w:vAlign w:val="top"/>
          </w:tcPr>
          <w:p w14:paraId="1500B48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c>
          <w:tcPr>
            <w:tcW w:w="1566" w:type="dxa"/>
            <w:tcBorders>
              <w:top w:val="nil"/>
              <w:bottom w:val="nil"/>
            </w:tcBorders>
            <w:noWrap w:val="0"/>
            <w:vAlign w:val="top"/>
          </w:tcPr>
          <w:p w14:paraId="416F33CA">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1901" w:type="dxa"/>
            <w:tcBorders>
              <w:top w:val="nil"/>
              <w:bottom w:val="nil"/>
            </w:tcBorders>
            <w:noWrap w:val="0"/>
            <w:vAlign w:val="top"/>
          </w:tcPr>
          <w:p w14:paraId="4FBE63BA">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2168" w:type="dxa"/>
            <w:tcBorders>
              <w:top w:val="nil"/>
              <w:bottom w:val="nil"/>
            </w:tcBorders>
            <w:noWrap w:val="0"/>
            <w:vAlign w:val="top"/>
          </w:tcPr>
          <w:p w14:paraId="330D2CA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r>
      <w:tr w14:paraId="08CC327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71" w:type="dxa"/>
            <w:tcBorders>
              <w:top w:val="nil"/>
              <w:bottom w:val="nil"/>
            </w:tcBorders>
            <w:noWrap w:val="0"/>
            <w:vAlign w:val="center"/>
          </w:tcPr>
          <w:p w14:paraId="5DA2B215">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发芽数</w:t>
            </w:r>
          </w:p>
        </w:tc>
        <w:tc>
          <w:tcPr>
            <w:tcW w:w="2474" w:type="dxa"/>
            <w:tcBorders>
              <w:top w:val="nil"/>
              <w:bottom w:val="nil"/>
            </w:tcBorders>
            <w:noWrap w:val="0"/>
            <w:vAlign w:val="top"/>
          </w:tcPr>
          <w:p w14:paraId="16F24C3A">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lang w:val="en-US" w:eastAsia="zh-CN"/>
              </w:rPr>
            </w:pPr>
            <w:r>
              <w:rPr>
                <w:rFonts w:hint="eastAsia" w:eastAsia="仿宋_GB2312"/>
                <w:color w:val="auto"/>
                <w:kern w:val="2"/>
                <w:lang w:val="en-US" w:eastAsia="zh-CN"/>
              </w:rPr>
              <w:t>0</w:t>
            </w:r>
          </w:p>
        </w:tc>
        <w:tc>
          <w:tcPr>
            <w:tcW w:w="1566" w:type="dxa"/>
            <w:tcBorders>
              <w:top w:val="nil"/>
              <w:bottom w:val="nil"/>
            </w:tcBorders>
            <w:noWrap w:val="0"/>
            <w:vAlign w:val="top"/>
          </w:tcPr>
          <w:p w14:paraId="3B660756">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lang w:val="en-US" w:eastAsia="zh-CN"/>
              </w:rPr>
            </w:pPr>
            <w:r>
              <w:rPr>
                <w:rFonts w:hint="eastAsia" w:eastAsia="仿宋_GB2312"/>
                <w:color w:val="auto"/>
                <w:kern w:val="2"/>
                <w:lang w:val="en-US" w:eastAsia="zh-CN"/>
              </w:rPr>
              <w:t>5</w:t>
            </w:r>
          </w:p>
        </w:tc>
        <w:tc>
          <w:tcPr>
            <w:tcW w:w="1901" w:type="dxa"/>
            <w:tcBorders>
              <w:top w:val="nil"/>
              <w:bottom w:val="nil"/>
            </w:tcBorders>
            <w:noWrap w:val="0"/>
            <w:vAlign w:val="top"/>
          </w:tcPr>
          <w:p w14:paraId="55CF8AEB">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lang w:val="en-US" w:eastAsia="zh-CN"/>
              </w:rPr>
            </w:pPr>
            <w:r>
              <w:rPr>
                <w:rFonts w:hint="eastAsia" w:eastAsia="仿宋_GB2312"/>
                <w:color w:val="auto"/>
                <w:kern w:val="2"/>
                <w:lang w:val="en-US" w:eastAsia="zh-CN"/>
              </w:rPr>
              <w:t>8</w:t>
            </w:r>
          </w:p>
        </w:tc>
        <w:tc>
          <w:tcPr>
            <w:tcW w:w="2168" w:type="dxa"/>
            <w:tcBorders>
              <w:top w:val="nil"/>
              <w:bottom w:val="nil"/>
            </w:tcBorders>
            <w:noWrap w:val="0"/>
            <w:vAlign w:val="top"/>
          </w:tcPr>
          <w:p w14:paraId="466B4D35">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11</w:t>
            </w:r>
          </w:p>
        </w:tc>
      </w:tr>
      <w:tr w14:paraId="7039CF0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71" w:type="dxa"/>
            <w:tcBorders>
              <w:top w:val="nil"/>
            </w:tcBorders>
            <w:noWrap w:val="0"/>
            <w:vAlign w:val="center"/>
          </w:tcPr>
          <w:p w14:paraId="493F2AA8">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发芽率</w:t>
            </w:r>
          </w:p>
        </w:tc>
        <w:tc>
          <w:tcPr>
            <w:tcW w:w="2474" w:type="dxa"/>
            <w:tcBorders>
              <w:top w:val="nil"/>
            </w:tcBorders>
            <w:noWrap w:val="0"/>
            <w:vAlign w:val="top"/>
          </w:tcPr>
          <w:p w14:paraId="1D2415B4">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lang w:val="en-US" w:eastAsia="zh-CN"/>
              </w:rPr>
            </w:pPr>
            <w:r>
              <w:rPr>
                <w:rFonts w:hint="eastAsia" w:eastAsia="仿宋_GB2312"/>
                <w:color w:val="auto"/>
                <w:kern w:val="2"/>
                <w:lang w:val="en-US" w:eastAsia="zh-CN"/>
              </w:rPr>
              <w:t>0</w:t>
            </w:r>
          </w:p>
        </w:tc>
        <w:tc>
          <w:tcPr>
            <w:tcW w:w="1566" w:type="dxa"/>
            <w:tcBorders>
              <w:top w:val="nil"/>
            </w:tcBorders>
            <w:noWrap w:val="0"/>
            <w:vAlign w:val="top"/>
          </w:tcPr>
          <w:p w14:paraId="02770487">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25%</w:t>
            </w:r>
          </w:p>
        </w:tc>
        <w:tc>
          <w:tcPr>
            <w:tcW w:w="1901" w:type="dxa"/>
            <w:tcBorders>
              <w:top w:val="nil"/>
            </w:tcBorders>
            <w:noWrap w:val="0"/>
            <w:vAlign w:val="top"/>
          </w:tcPr>
          <w:p w14:paraId="6C9D7A2E">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40%</w:t>
            </w:r>
          </w:p>
        </w:tc>
        <w:tc>
          <w:tcPr>
            <w:tcW w:w="2168" w:type="dxa"/>
            <w:tcBorders>
              <w:top w:val="nil"/>
            </w:tcBorders>
            <w:noWrap w:val="0"/>
            <w:vAlign w:val="top"/>
          </w:tcPr>
          <w:p w14:paraId="1EF2113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36.7%</w:t>
            </w:r>
          </w:p>
        </w:tc>
      </w:tr>
    </w:tbl>
    <w:p w14:paraId="785A71FE">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eastAsia="仿宋_GB2312"/>
          <w:color w:val="auto"/>
          <w:sz w:val="24"/>
          <w:szCs w:val="24"/>
          <w:lang w:val="en-US" w:eastAsia="zh-CN" w:bidi="ar"/>
        </w:rPr>
      </w:pPr>
      <w:r>
        <w:rPr>
          <w:rFonts w:hint="eastAsia" w:eastAsia="仿宋_GB2312"/>
          <w:color w:val="auto"/>
          <w:sz w:val="24"/>
          <w:szCs w:val="24"/>
          <w:lang w:val="en-US" w:eastAsia="zh-CN" w:bidi="ar"/>
        </w:rPr>
        <w:t>采用常温或温棚内湿藏。</w:t>
      </w:r>
    </w:p>
    <w:p w14:paraId="661EAD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ascii="Times New Roman" w:hAnsi="Times New Roman" w:eastAsia="仿宋_GB2312"/>
          <w:color w:val="auto"/>
          <w:sz w:val="24"/>
          <w:szCs w:val="24"/>
        </w:rPr>
      </w:pPr>
      <w:r>
        <w:rPr>
          <w:rFonts w:hint="eastAsia" w:eastAsia="仿宋_GB2312"/>
          <w:color w:val="auto"/>
          <w:sz w:val="24"/>
          <w:szCs w:val="24"/>
          <w:lang w:val="en-US" w:eastAsia="zh-CN"/>
        </w:rPr>
        <w:t>3、</w:t>
      </w:r>
      <w:r>
        <w:rPr>
          <w:rFonts w:hint="eastAsia" w:ascii="Times New Roman" w:hAnsi="Times New Roman" w:eastAsia="仿宋_GB2312"/>
          <w:color w:val="auto"/>
          <w:sz w:val="24"/>
          <w:szCs w:val="24"/>
        </w:rPr>
        <w:t>催芽温度</w:t>
      </w:r>
    </w:p>
    <w:p w14:paraId="130D2CE0">
      <w:pPr>
        <w:pStyle w:val="13"/>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hint="default" w:ascii="Times New Roman" w:hAnsi="Times New Roman" w:eastAsia="仿宋_GB2312"/>
          <w:color w:val="auto"/>
          <w:sz w:val="24"/>
          <w:szCs w:val="24"/>
          <w:lang w:val="en-US" w:eastAsia="zh-CN"/>
        </w:rPr>
      </w:pPr>
      <w:r>
        <w:rPr>
          <w:rFonts w:hint="eastAsia" w:ascii="Times New Roman" w:hAnsi="Times New Roman" w:eastAsia="仿宋_GB2312"/>
          <w:color w:val="auto"/>
          <w:sz w:val="24"/>
          <w:szCs w:val="24"/>
        </w:rPr>
        <w:t>表3 不同</w:t>
      </w:r>
      <w:r>
        <w:rPr>
          <w:rFonts w:hint="eastAsia" w:eastAsia="仿宋_GB2312"/>
          <w:color w:val="auto"/>
          <w:sz w:val="24"/>
          <w:szCs w:val="24"/>
          <w:lang w:val="en-US" w:eastAsia="zh-CN"/>
        </w:rPr>
        <w:t>催芽温度的种子发芽率</w:t>
      </w:r>
    </w:p>
    <w:tbl>
      <w:tblPr>
        <w:tblStyle w:val="7"/>
        <w:tblW w:w="6711"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1"/>
        <w:gridCol w:w="1054"/>
        <w:gridCol w:w="750"/>
        <w:gridCol w:w="900"/>
        <w:gridCol w:w="970"/>
        <w:gridCol w:w="940"/>
        <w:gridCol w:w="786"/>
      </w:tblGrid>
      <w:tr w14:paraId="1CF85A6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bottom w:val="single" w:color="auto" w:sz="4" w:space="0"/>
            </w:tcBorders>
            <w:noWrap w:val="0"/>
            <w:vAlign w:val="top"/>
          </w:tcPr>
          <w:p w14:paraId="001BC1F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催芽温度</w:t>
            </w:r>
          </w:p>
        </w:tc>
        <w:tc>
          <w:tcPr>
            <w:tcW w:w="1054" w:type="dxa"/>
            <w:tcBorders>
              <w:bottom w:val="single" w:color="auto" w:sz="4" w:space="0"/>
            </w:tcBorders>
            <w:noWrap w:val="0"/>
            <w:vAlign w:val="top"/>
          </w:tcPr>
          <w:p w14:paraId="33CF858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30℃</w:t>
            </w:r>
          </w:p>
        </w:tc>
        <w:tc>
          <w:tcPr>
            <w:tcW w:w="750" w:type="dxa"/>
            <w:tcBorders>
              <w:bottom w:val="single" w:color="auto" w:sz="4" w:space="0"/>
            </w:tcBorders>
            <w:noWrap w:val="0"/>
            <w:vAlign w:val="top"/>
          </w:tcPr>
          <w:p w14:paraId="34B85E56">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32</w:t>
            </w:r>
            <w:r>
              <w:rPr>
                <w:rFonts w:hint="eastAsia" w:ascii="Times New Roman" w:hAnsi="Times New Roman" w:eastAsia="仿宋_GB2312"/>
                <w:color w:val="auto"/>
                <w:kern w:val="2"/>
              </w:rPr>
              <w:t>℃</w:t>
            </w:r>
          </w:p>
        </w:tc>
        <w:tc>
          <w:tcPr>
            <w:tcW w:w="900" w:type="dxa"/>
            <w:tcBorders>
              <w:bottom w:val="single" w:color="auto" w:sz="4" w:space="0"/>
            </w:tcBorders>
            <w:noWrap w:val="0"/>
            <w:vAlign w:val="top"/>
          </w:tcPr>
          <w:p w14:paraId="766179B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34</w:t>
            </w:r>
            <w:r>
              <w:rPr>
                <w:rFonts w:hint="eastAsia" w:ascii="Times New Roman" w:hAnsi="Times New Roman" w:eastAsia="仿宋_GB2312"/>
                <w:color w:val="auto"/>
                <w:kern w:val="2"/>
              </w:rPr>
              <w:t>℃</w:t>
            </w:r>
          </w:p>
        </w:tc>
        <w:tc>
          <w:tcPr>
            <w:tcW w:w="970" w:type="dxa"/>
            <w:tcBorders>
              <w:bottom w:val="single" w:color="auto" w:sz="4" w:space="0"/>
            </w:tcBorders>
            <w:noWrap w:val="0"/>
            <w:vAlign w:val="top"/>
          </w:tcPr>
          <w:p w14:paraId="441809C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35℃</w:t>
            </w:r>
          </w:p>
        </w:tc>
        <w:tc>
          <w:tcPr>
            <w:tcW w:w="940" w:type="dxa"/>
            <w:tcBorders>
              <w:bottom w:val="single" w:color="auto" w:sz="4" w:space="0"/>
            </w:tcBorders>
            <w:noWrap w:val="0"/>
            <w:vAlign w:val="top"/>
          </w:tcPr>
          <w:p w14:paraId="148C3BDA">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36℃</w:t>
            </w:r>
          </w:p>
        </w:tc>
        <w:tc>
          <w:tcPr>
            <w:tcW w:w="786" w:type="dxa"/>
            <w:tcBorders>
              <w:bottom w:val="single" w:color="auto" w:sz="4" w:space="0"/>
            </w:tcBorders>
            <w:noWrap w:val="0"/>
            <w:vAlign w:val="top"/>
          </w:tcPr>
          <w:p w14:paraId="7B98C19E">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38℃</w:t>
            </w:r>
          </w:p>
        </w:tc>
      </w:tr>
      <w:tr w14:paraId="2D4ADAF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single" w:color="auto" w:sz="4" w:space="0"/>
              <w:bottom w:val="nil"/>
            </w:tcBorders>
            <w:noWrap w:val="0"/>
            <w:vAlign w:val="center"/>
          </w:tcPr>
          <w:p w14:paraId="3BABA4AF">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催芽总数</w:t>
            </w:r>
          </w:p>
        </w:tc>
        <w:tc>
          <w:tcPr>
            <w:tcW w:w="1054" w:type="dxa"/>
            <w:tcBorders>
              <w:top w:val="single" w:color="auto" w:sz="4" w:space="0"/>
              <w:bottom w:val="nil"/>
            </w:tcBorders>
            <w:noWrap w:val="0"/>
            <w:vAlign w:val="top"/>
          </w:tcPr>
          <w:p w14:paraId="7F299281">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c>
          <w:tcPr>
            <w:tcW w:w="750" w:type="dxa"/>
            <w:tcBorders>
              <w:top w:val="single" w:color="auto" w:sz="4" w:space="0"/>
              <w:bottom w:val="nil"/>
            </w:tcBorders>
            <w:noWrap w:val="0"/>
            <w:vAlign w:val="top"/>
          </w:tcPr>
          <w:p w14:paraId="4CB7E89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40</w:t>
            </w:r>
          </w:p>
        </w:tc>
        <w:tc>
          <w:tcPr>
            <w:tcW w:w="900" w:type="dxa"/>
            <w:tcBorders>
              <w:top w:val="single" w:color="auto" w:sz="4" w:space="0"/>
              <w:bottom w:val="nil"/>
            </w:tcBorders>
            <w:noWrap w:val="0"/>
            <w:vAlign w:val="top"/>
          </w:tcPr>
          <w:p w14:paraId="01F69AC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970" w:type="dxa"/>
            <w:tcBorders>
              <w:top w:val="single" w:color="auto" w:sz="4" w:space="0"/>
              <w:bottom w:val="nil"/>
            </w:tcBorders>
            <w:noWrap w:val="0"/>
            <w:vAlign w:val="top"/>
          </w:tcPr>
          <w:p w14:paraId="65617EF4">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c>
          <w:tcPr>
            <w:tcW w:w="940" w:type="dxa"/>
            <w:tcBorders>
              <w:top w:val="single" w:color="auto" w:sz="4" w:space="0"/>
              <w:bottom w:val="nil"/>
            </w:tcBorders>
            <w:noWrap w:val="0"/>
            <w:vAlign w:val="top"/>
          </w:tcPr>
          <w:p w14:paraId="2185CA8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786" w:type="dxa"/>
            <w:tcBorders>
              <w:top w:val="single" w:color="auto" w:sz="4" w:space="0"/>
              <w:bottom w:val="nil"/>
            </w:tcBorders>
            <w:noWrap w:val="0"/>
            <w:vAlign w:val="top"/>
          </w:tcPr>
          <w:p w14:paraId="0CB8C3A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r>
      <w:tr w14:paraId="49CEE9C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nil"/>
              <w:bottom w:val="nil"/>
            </w:tcBorders>
            <w:noWrap w:val="0"/>
            <w:vAlign w:val="center"/>
          </w:tcPr>
          <w:p w14:paraId="33C809A3">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发芽数</w:t>
            </w:r>
          </w:p>
        </w:tc>
        <w:tc>
          <w:tcPr>
            <w:tcW w:w="1054" w:type="dxa"/>
            <w:tcBorders>
              <w:top w:val="nil"/>
              <w:bottom w:val="nil"/>
            </w:tcBorders>
            <w:noWrap w:val="0"/>
            <w:vAlign w:val="top"/>
          </w:tcPr>
          <w:p w14:paraId="5ECBCE69">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lang w:eastAsia="zh-CN"/>
              </w:rPr>
            </w:pPr>
            <w:r>
              <w:rPr>
                <w:rFonts w:hint="eastAsia" w:eastAsia="仿宋_GB2312"/>
                <w:color w:val="auto"/>
                <w:kern w:val="2"/>
                <w:lang w:val="en-US" w:eastAsia="zh-CN"/>
              </w:rPr>
              <w:t>3</w:t>
            </w:r>
          </w:p>
        </w:tc>
        <w:tc>
          <w:tcPr>
            <w:tcW w:w="750" w:type="dxa"/>
            <w:tcBorders>
              <w:top w:val="nil"/>
              <w:bottom w:val="nil"/>
            </w:tcBorders>
            <w:noWrap w:val="0"/>
            <w:vAlign w:val="top"/>
          </w:tcPr>
          <w:p w14:paraId="48FFB5F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8</w:t>
            </w:r>
          </w:p>
        </w:tc>
        <w:tc>
          <w:tcPr>
            <w:tcW w:w="900" w:type="dxa"/>
            <w:tcBorders>
              <w:top w:val="nil"/>
              <w:bottom w:val="nil"/>
            </w:tcBorders>
            <w:noWrap w:val="0"/>
            <w:vAlign w:val="top"/>
          </w:tcPr>
          <w:p w14:paraId="4F4F1D91">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w:t>
            </w:r>
          </w:p>
        </w:tc>
        <w:tc>
          <w:tcPr>
            <w:tcW w:w="970" w:type="dxa"/>
            <w:tcBorders>
              <w:top w:val="nil"/>
              <w:bottom w:val="nil"/>
            </w:tcBorders>
            <w:noWrap w:val="0"/>
            <w:vAlign w:val="top"/>
          </w:tcPr>
          <w:p w14:paraId="774A917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11</w:t>
            </w:r>
          </w:p>
        </w:tc>
        <w:tc>
          <w:tcPr>
            <w:tcW w:w="940" w:type="dxa"/>
            <w:tcBorders>
              <w:top w:val="nil"/>
              <w:bottom w:val="nil"/>
            </w:tcBorders>
            <w:noWrap w:val="0"/>
            <w:vAlign w:val="top"/>
          </w:tcPr>
          <w:p w14:paraId="1A8D0404">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11</w:t>
            </w:r>
          </w:p>
        </w:tc>
        <w:tc>
          <w:tcPr>
            <w:tcW w:w="786" w:type="dxa"/>
            <w:tcBorders>
              <w:top w:val="nil"/>
              <w:bottom w:val="nil"/>
            </w:tcBorders>
            <w:noWrap w:val="0"/>
            <w:vAlign w:val="top"/>
          </w:tcPr>
          <w:p w14:paraId="42BCA4E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w:t>
            </w:r>
          </w:p>
        </w:tc>
      </w:tr>
      <w:tr w14:paraId="6BA000A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nil"/>
            </w:tcBorders>
            <w:noWrap w:val="0"/>
            <w:vAlign w:val="center"/>
          </w:tcPr>
          <w:p w14:paraId="4FC11B5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发芽率</w:t>
            </w:r>
          </w:p>
        </w:tc>
        <w:tc>
          <w:tcPr>
            <w:tcW w:w="1054" w:type="dxa"/>
            <w:tcBorders>
              <w:top w:val="nil"/>
            </w:tcBorders>
            <w:noWrap w:val="0"/>
            <w:vAlign w:val="top"/>
          </w:tcPr>
          <w:p w14:paraId="3E2AEF8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1</w:t>
            </w:r>
            <w:r>
              <w:rPr>
                <w:rFonts w:hint="eastAsia" w:eastAsia="仿宋_GB2312"/>
                <w:color w:val="auto"/>
                <w:kern w:val="2"/>
                <w:lang w:val="en-US" w:eastAsia="zh-CN"/>
              </w:rPr>
              <w:t>0</w:t>
            </w:r>
            <w:r>
              <w:rPr>
                <w:rFonts w:hint="eastAsia" w:ascii="Times New Roman" w:hAnsi="Times New Roman" w:eastAsia="仿宋_GB2312"/>
                <w:color w:val="auto"/>
                <w:kern w:val="2"/>
              </w:rPr>
              <w:t>%</w:t>
            </w:r>
          </w:p>
        </w:tc>
        <w:tc>
          <w:tcPr>
            <w:tcW w:w="750" w:type="dxa"/>
            <w:tcBorders>
              <w:top w:val="nil"/>
            </w:tcBorders>
            <w:noWrap w:val="0"/>
            <w:vAlign w:val="top"/>
          </w:tcPr>
          <w:p w14:paraId="457A19D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900" w:type="dxa"/>
            <w:tcBorders>
              <w:top w:val="nil"/>
            </w:tcBorders>
            <w:noWrap w:val="0"/>
            <w:vAlign w:val="top"/>
          </w:tcPr>
          <w:p w14:paraId="215149A2">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970" w:type="dxa"/>
            <w:tcBorders>
              <w:top w:val="nil"/>
            </w:tcBorders>
            <w:noWrap w:val="0"/>
            <w:vAlign w:val="top"/>
          </w:tcPr>
          <w:p w14:paraId="255C2DF0">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3</w:t>
            </w:r>
            <w:r>
              <w:rPr>
                <w:rFonts w:hint="eastAsia" w:eastAsia="仿宋_GB2312"/>
                <w:color w:val="auto"/>
                <w:kern w:val="2"/>
                <w:lang w:val="en-US" w:eastAsia="zh-CN"/>
              </w:rPr>
              <w:t>6.7</w:t>
            </w:r>
            <w:r>
              <w:rPr>
                <w:rFonts w:hint="eastAsia" w:ascii="Times New Roman" w:hAnsi="Times New Roman" w:eastAsia="仿宋_GB2312"/>
                <w:color w:val="auto"/>
                <w:kern w:val="2"/>
              </w:rPr>
              <w:t>%</w:t>
            </w:r>
          </w:p>
        </w:tc>
        <w:tc>
          <w:tcPr>
            <w:tcW w:w="940" w:type="dxa"/>
            <w:tcBorders>
              <w:top w:val="nil"/>
            </w:tcBorders>
            <w:noWrap w:val="0"/>
            <w:vAlign w:val="top"/>
          </w:tcPr>
          <w:p w14:paraId="75BA947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65%</w:t>
            </w:r>
          </w:p>
        </w:tc>
        <w:tc>
          <w:tcPr>
            <w:tcW w:w="786" w:type="dxa"/>
            <w:tcBorders>
              <w:top w:val="nil"/>
            </w:tcBorders>
            <w:noWrap w:val="0"/>
            <w:vAlign w:val="top"/>
          </w:tcPr>
          <w:p w14:paraId="52F98E0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10%</w:t>
            </w:r>
          </w:p>
        </w:tc>
      </w:tr>
    </w:tbl>
    <w:p w14:paraId="1890B60D">
      <w:pPr>
        <w:pStyle w:val="13"/>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imes New Roman" w:hAnsi="Times New Roman" w:eastAsia="仿宋_GB2312"/>
          <w:color w:val="auto"/>
          <w:sz w:val="24"/>
          <w:szCs w:val="24"/>
        </w:rPr>
      </w:pPr>
      <w:r>
        <w:rPr>
          <w:rFonts w:hint="eastAsia" w:eastAsia="仿宋_GB2312"/>
          <w:color w:val="auto"/>
          <w:sz w:val="24"/>
          <w:szCs w:val="24"/>
          <w:lang w:val="en-US" w:eastAsia="zh-CN"/>
        </w:rPr>
        <w:t>采用32</w:t>
      </w:r>
      <w:r>
        <w:rPr>
          <w:rFonts w:hint="eastAsia" w:ascii="Times New Roman" w:hAnsi="Times New Roman" w:eastAsia="仿宋_GB2312"/>
          <w:color w:val="auto"/>
          <w:sz w:val="24"/>
          <w:szCs w:val="24"/>
        </w:rPr>
        <w:t>~</w:t>
      </w:r>
      <w:r>
        <w:rPr>
          <w:rFonts w:hint="eastAsia" w:eastAsia="仿宋_GB2312"/>
          <w:color w:val="auto"/>
          <w:sz w:val="24"/>
          <w:szCs w:val="24"/>
          <w:lang w:val="en-US" w:eastAsia="zh-CN"/>
        </w:rPr>
        <w:t>36℃进行催芽</w:t>
      </w:r>
      <w:r>
        <w:rPr>
          <w:rFonts w:hint="eastAsia" w:ascii="Times New Roman" w:hAnsi="Times New Roman" w:eastAsia="仿宋_GB2312"/>
          <w:color w:val="auto"/>
          <w:sz w:val="24"/>
          <w:szCs w:val="24"/>
        </w:rPr>
        <w:t>，</w:t>
      </w:r>
      <w:r>
        <w:rPr>
          <w:rFonts w:hint="eastAsia" w:eastAsia="仿宋_GB2312"/>
          <w:color w:val="auto"/>
          <w:sz w:val="24"/>
          <w:szCs w:val="24"/>
          <w:lang w:val="en-US" w:eastAsia="zh-CN"/>
        </w:rPr>
        <w:t>35℃</w:t>
      </w:r>
      <w:r>
        <w:rPr>
          <w:rFonts w:hint="eastAsia" w:ascii="Times New Roman" w:hAnsi="Times New Roman" w:eastAsia="仿宋_GB2312"/>
          <w:color w:val="auto"/>
          <w:sz w:val="24"/>
          <w:szCs w:val="24"/>
        </w:rPr>
        <w:t>~</w:t>
      </w:r>
      <w:r>
        <w:rPr>
          <w:rFonts w:hint="eastAsia" w:eastAsia="仿宋_GB2312"/>
          <w:color w:val="auto"/>
          <w:sz w:val="24"/>
          <w:szCs w:val="24"/>
          <w:lang w:val="en-US" w:eastAsia="zh-CN"/>
        </w:rPr>
        <w:t>36℃</w:t>
      </w:r>
      <w:r>
        <w:rPr>
          <w:rFonts w:hint="eastAsia" w:ascii="Times New Roman" w:hAnsi="Times New Roman" w:eastAsia="仿宋_GB2312"/>
          <w:color w:val="auto"/>
          <w:sz w:val="24"/>
          <w:szCs w:val="24"/>
        </w:rPr>
        <w:t>发芽率最佳。</w:t>
      </w:r>
    </w:p>
    <w:p w14:paraId="7AF69AE1">
      <w:pPr>
        <w:pStyle w:val="13"/>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eastAsia="仿宋_GB2312"/>
          <w:color w:val="auto"/>
          <w:sz w:val="24"/>
          <w:szCs w:val="24"/>
          <w:lang w:val="en-US" w:eastAsia="zh-CN"/>
        </w:rPr>
      </w:pPr>
      <w:r>
        <w:rPr>
          <w:rFonts w:hint="eastAsia" w:eastAsia="仿宋_GB2312"/>
          <w:color w:val="auto"/>
          <w:sz w:val="24"/>
          <w:szCs w:val="24"/>
          <w:lang w:val="en-US" w:eastAsia="zh-CN"/>
        </w:rPr>
        <w:t>直接对种子进行催芽发芽率均低于70%，随即将种子进行去种脐处理，得到以下结果：</w:t>
      </w:r>
    </w:p>
    <w:p w14:paraId="16F07FE6">
      <w:pPr>
        <w:pStyle w:val="13"/>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ascii="Times New Roman" w:hAnsi="Times New Roman" w:eastAsia="仿宋_GB2312"/>
          <w:color w:val="auto"/>
          <w:sz w:val="24"/>
          <w:szCs w:val="24"/>
        </w:rPr>
      </w:pPr>
      <w:r>
        <w:rPr>
          <w:rFonts w:hint="eastAsia" w:ascii="Times New Roman" w:hAnsi="Times New Roman" w:eastAsia="仿宋_GB2312"/>
          <w:color w:val="auto"/>
          <w:sz w:val="24"/>
          <w:szCs w:val="24"/>
        </w:rPr>
        <w:t>表</w:t>
      </w:r>
      <w:r>
        <w:rPr>
          <w:rFonts w:hint="eastAsia" w:eastAsia="仿宋_GB2312"/>
          <w:color w:val="auto"/>
          <w:sz w:val="24"/>
          <w:szCs w:val="24"/>
          <w:lang w:val="en-US" w:eastAsia="zh-CN"/>
        </w:rPr>
        <w:t>4</w:t>
      </w:r>
      <w:r>
        <w:rPr>
          <w:rFonts w:hint="eastAsia" w:ascii="Times New Roman" w:hAnsi="Times New Roman" w:eastAsia="仿宋_GB2312"/>
          <w:color w:val="auto"/>
          <w:sz w:val="24"/>
          <w:szCs w:val="24"/>
        </w:rPr>
        <w:t xml:space="preserve"> 不同处理的发芽率对比</w:t>
      </w:r>
    </w:p>
    <w:tbl>
      <w:tblPr>
        <w:tblStyle w:val="7"/>
        <w:tblW w:w="8237"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1"/>
        <w:gridCol w:w="1221"/>
        <w:gridCol w:w="970"/>
        <w:gridCol w:w="1320"/>
        <w:gridCol w:w="1060"/>
        <w:gridCol w:w="1240"/>
        <w:gridCol w:w="1115"/>
      </w:tblGrid>
      <w:tr w14:paraId="4EA2685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single" w:color="auto" w:sz="4" w:space="0"/>
              <w:bottom w:val="single" w:color="auto" w:sz="4" w:space="0"/>
            </w:tcBorders>
            <w:noWrap w:val="0"/>
            <w:vAlign w:val="top"/>
          </w:tcPr>
          <w:p w14:paraId="0845C6C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催芽温度</w:t>
            </w:r>
          </w:p>
        </w:tc>
        <w:tc>
          <w:tcPr>
            <w:tcW w:w="2191" w:type="dxa"/>
            <w:gridSpan w:val="2"/>
            <w:tcBorders>
              <w:top w:val="single" w:color="auto" w:sz="4" w:space="0"/>
              <w:bottom w:val="single" w:color="auto" w:sz="4" w:space="0"/>
            </w:tcBorders>
            <w:noWrap w:val="0"/>
            <w:vAlign w:val="top"/>
          </w:tcPr>
          <w:p w14:paraId="366D98D9">
            <w:pPr>
              <w:pStyle w:val="6"/>
              <w:keepNext w:val="0"/>
              <w:keepLines w:val="0"/>
              <w:widowControl/>
              <w:suppressLineNumbers w:val="0"/>
              <w:adjustRightInd w:val="0"/>
              <w:snapToGrid w:val="0"/>
              <w:ind w:left="0" w:right="0"/>
              <w:jc w:val="center"/>
              <w:textAlignment w:val="top"/>
              <w:rPr>
                <w:rFonts w:hint="eastAsia" w:eastAsia="仿宋_GB2312"/>
                <w:color w:val="auto"/>
                <w:kern w:val="2"/>
                <w:lang w:val="en-US" w:eastAsia="zh-CN"/>
              </w:rPr>
            </w:pPr>
            <w:r>
              <w:rPr>
                <w:rFonts w:hint="eastAsia" w:eastAsia="仿宋_GB2312"/>
                <w:color w:val="auto"/>
                <w:kern w:val="2"/>
                <w:lang w:val="en-US" w:eastAsia="zh-CN"/>
              </w:rPr>
              <w:t>32</w:t>
            </w:r>
            <w:r>
              <w:rPr>
                <w:rFonts w:hint="eastAsia" w:ascii="Times New Roman" w:hAnsi="Times New Roman" w:eastAsia="仿宋_GB2312"/>
                <w:color w:val="auto"/>
                <w:kern w:val="2"/>
              </w:rPr>
              <w:t>℃</w:t>
            </w:r>
          </w:p>
        </w:tc>
        <w:tc>
          <w:tcPr>
            <w:tcW w:w="2380" w:type="dxa"/>
            <w:gridSpan w:val="2"/>
            <w:tcBorders>
              <w:top w:val="single" w:color="auto" w:sz="4" w:space="0"/>
              <w:bottom w:val="single" w:color="auto" w:sz="4" w:space="0"/>
            </w:tcBorders>
            <w:noWrap w:val="0"/>
            <w:vAlign w:val="top"/>
          </w:tcPr>
          <w:p w14:paraId="4258B3D0">
            <w:pPr>
              <w:pStyle w:val="6"/>
              <w:keepNext w:val="0"/>
              <w:keepLines w:val="0"/>
              <w:widowControl/>
              <w:suppressLineNumbers w:val="0"/>
              <w:adjustRightInd w:val="0"/>
              <w:snapToGrid w:val="0"/>
              <w:ind w:left="0" w:right="0"/>
              <w:jc w:val="center"/>
              <w:textAlignment w:val="top"/>
              <w:rPr>
                <w:rFonts w:hint="eastAsia" w:eastAsia="仿宋_GB2312"/>
                <w:color w:val="auto"/>
                <w:kern w:val="2"/>
                <w:lang w:val="en-US" w:eastAsia="zh-CN"/>
              </w:rPr>
            </w:pPr>
            <w:r>
              <w:rPr>
                <w:rFonts w:hint="eastAsia" w:eastAsia="仿宋_GB2312"/>
                <w:color w:val="auto"/>
                <w:kern w:val="2"/>
                <w:lang w:val="en-US" w:eastAsia="zh-CN"/>
              </w:rPr>
              <w:t>34</w:t>
            </w:r>
            <w:r>
              <w:rPr>
                <w:rFonts w:hint="eastAsia" w:ascii="Times New Roman" w:hAnsi="Times New Roman" w:eastAsia="仿宋_GB2312"/>
                <w:color w:val="auto"/>
                <w:kern w:val="2"/>
              </w:rPr>
              <w:t>℃</w:t>
            </w:r>
          </w:p>
        </w:tc>
        <w:tc>
          <w:tcPr>
            <w:tcW w:w="2355" w:type="dxa"/>
            <w:gridSpan w:val="2"/>
            <w:tcBorders>
              <w:top w:val="single" w:color="auto" w:sz="4" w:space="0"/>
              <w:bottom w:val="single" w:color="auto" w:sz="4" w:space="0"/>
            </w:tcBorders>
            <w:noWrap w:val="0"/>
            <w:vAlign w:val="top"/>
          </w:tcPr>
          <w:p w14:paraId="3DDC997B">
            <w:pPr>
              <w:pStyle w:val="6"/>
              <w:keepNext w:val="0"/>
              <w:keepLines w:val="0"/>
              <w:widowControl/>
              <w:suppressLineNumbers w:val="0"/>
              <w:adjustRightInd w:val="0"/>
              <w:snapToGrid w:val="0"/>
              <w:ind w:left="0" w:right="0"/>
              <w:jc w:val="center"/>
              <w:textAlignment w:val="top"/>
              <w:rPr>
                <w:rFonts w:hint="eastAsia" w:eastAsia="仿宋_GB2312"/>
                <w:color w:val="auto"/>
                <w:kern w:val="2"/>
                <w:lang w:val="en-US" w:eastAsia="zh-CN"/>
              </w:rPr>
            </w:pPr>
            <w:r>
              <w:rPr>
                <w:rFonts w:hint="eastAsia" w:eastAsia="仿宋_GB2312"/>
                <w:color w:val="auto"/>
                <w:kern w:val="2"/>
                <w:lang w:val="en-US" w:eastAsia="zh-CN"/>
              </w:rPr>
              <w:t>36℃</w:t>
            </w:r>
          </w:p>
        </w:tc>
      </w:tr>
      <w:tr w14:paraId="2FA979C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single" w:color="auto" w:sz="4" w:space="0"/>
              <w:bottom w:val="single" w:color="auto" w:sz="4" w:space="0"/>
            </w:tcBorders>
            <w:noWrap w:val="0"/>
            <w:vAlign w:val="top"/>
          </w:tcPr>
          <w:p w14:paraId="1BED7FF6">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处理方式</w:t>
            </w:r>
          </w:p>
        </w:tc>
        <w:tc>
          <w:tcPr>
            <w:tcW w:w="1221" w:type="dxa"/>
            <w:tcBorders>
              <w:top w:val="single" w:color="auto" w:sz="4" w:space="0"/>
              <w:bottom w:val="single" w:color="auto" w:sz="4" w:space="0"/>
            </w:tcBorders>
            <w:noWrap w:val="0"/>
            <w:vAlign w:val="top"/>
          </w:tcPr>
          <w:p w14:paraId="62A22CC4">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不去种脐</w:t>
            </w:r>
          </w:p>
        </w:tc>
        <w:tc>
          <w:tcPr>
            <w:tcW w:w="970" w:type="dxa"/>
            <w:tcBorders>
              <w:top w:val="single" w:color="auto" w:sz="4" w:space="0"/>
              <w:bottom w:val="single" w:color="auto" w:sz="4" w:space="0"/>
            </w:tcBorders>
            <w:noWrap w:val="0"/>
            <w:vAlign w:val="top"/>
          </w:tcPr>
          <w:p w14:paraId="475843B4">
            <w:pPr>
              <w:pStyle w:val="6"/>
              <w:keepNext w:val="0"/>
              <w:keepLines w:val="0"/>
              <w:widowControl/>
              <w:suppressLineNumbers w:val="0"/>
              <w:adjustRightInd w:val="0"/>
              <w:snapToGrid w:val="0"/>
              <w:ind w:left="0" w:right="0"/>
              <w:jc w:val="center"/>
              <w:textAlignment w:val="top"/>
              <w:rPr>
                <w:rFonts w:hint="eastAsia" w:eastAsia="仿宋_GB2312"/>
                <w:color w:val="auto"/>
                <w:kern w:val="2"/>
                <w:lang w:val="en-US" w:eastAsia="zh-CN"/>
              </w:rPr>
            </w:pPr>
            <w:r>
              <w:rPr>
                <w:rFonts w:hint="eastAsia" w:eastAsia="仿宋_GB2312"/>
                <w:color w:val="auto"/>
                <w:kern w:val="2"/>
                <w:lang w:val="en-US" w:eastAsia="zh-CN"/>
              </w:rPr>
              <w:t>去种脐</w:t>
            </w:r>
          </w:p>
        </w:tc>
        <w:tc>
          <w:tcPr>
            <w:tcW w:w="1320" w:type="dxa"/>
            <w:tcBorders>
              <w:top w:val="single" w:color="auto" w:sz="4" w:space="0"/>
              <w:bottom w:val="single" w:color="auto" w:sz="4" w:space="0"/>
            </w:tcBorders>
            <w:noWrap w:val="0"/>
            <w:vAlign w:val="top"/>
          </w:tcPr>
          <w:p w14:paraId="2E87A524">
            <w:pPr>
              <w:pStyle w:val="6"/>
              <w:keepNext w:val="0"/>
              <w:keepLines w:val="0"/>
              <w:widowControl/>
              <w:suppressLineNumbers w:val="0"/>
              <w:adjustRightInd w:val="0"/>
              <w:snapToGrid w:val="0"/>
              <w:ind w:left="0" w:leftChars="0" w:right="0" w:rightChars="0"/>
              <w:jc w:val="center"/>
              <w:textAlignment w:val="top"/>
              <w:rPr>
                <w:rFonts w:hint="eastAsia" w:eastAsia="仿宋_GB2312"/>
                <w:color w:val="auto"/>
                <w:kern w:val="2"/>
                <w:lang w:val="en-US" w:eastAsia="zh-CN"/>
              </w:rPr>
            </w:pPr>
            <w:r>
              <w:rPr>
                <w:rFonts w:hint="eastAsia" w:eastAsia="仿宋_GB2312"/>
                <w:color w:val="auto"/>
                <w:kern w:val="2"/>
                <w:lang w:val="en-US" w:eastAsia="zh-CN"/>
              </w:rPr>
              <w:t>不去种脐</w:t>
            </w:r>
          </w:p>
        </w:tc>
        <w:tc>
          <w:tcPr>
            <w:tcW w:w="1060" w:type="dxa"/>
            <w:tcBorders>
              <w:top w:val="single" w:color="auto" w:sz="4" w:space="0"/>
              <w:bottom w:val="single" w:color="auto" w:sz="4" w:space="0"/>
            </w:tcBorders>
            <w:noWrap w:val="0"/>
            <w:vAlign w:val="top"/>
          </w:tcPr>
          <w:p w14:paraId="2E36A89E">
            <w:pPr>
              <w:pStyle w:val="6"/>
              <w:keepNext w:val="0"/>
              <w:keepLines w:val="0"/>
              <w:widowControl/>
              <w:suppressLineNumbers w:val="0"/>
              <w:adjustRightInd w:val="0"/>
              <w:snapToGrid w:val="0"/>
              <w:ind w:left="0" w:leftChars="0" w:right="0" w:rightChars="0"/>
              <w:jc w:val="center"/>
              <w:textAlignment w:val="top"/>
              <w:rPr>
                <w:rFonts w:hint="eastAsia" w:eastAsia="仿宋_GB2312"/>
                <w:color w:val="auto"/>
                <w:kern w:val="2"/>
                <w:lang w:val="en-US" w:eastAsia="zh-CN"/>
              </w:rPr>
            </w:pPr>
            <w:r>
              <w:rPr>
                <w:rFonts w:hint="eastAsia" w:eastAsia="仿宋_GB2312"/>
                <w:color w:val="auto"/>
                <w:kern w:val="2"/>
                <w:lang w:val="en-US" w:eastAsia="zh-CN"/>
              </w:rPr>
              <w:t>去种脐</w:t>
            </w:r>
          </w:p>
        </w:tc>
        <w:tc>
          <w:tcPr>
            <w:tcW w:w="1240" w:type="dxa"/>
            <w:tcBorders>
              <w:top w:val="single" w:color="auto" w:sz="4" w:space="0"/>
              <w:bottom w:val="single" w:color="auto" w:sz="4" w:space="0"/>
            </w:tcBorders>
            <w:noWrap w:val="0"/>
            <w:vAlign w:val="top"/>
          </w:tcPr>
          <w:p w14:paraId="7BC7777E">
            <w:pPr>
              <w:pStyle w:val="6"/>
              <w:keepNext w:val="0"/>
              <w:keepLines w:val="0"/>
              <w:widowControl/>
              <w:suppressLineNumbers w:val="0"/>
              <w:adjustRightInd w:val="0"/>
              <w:snapToGrid w:val="0"/>
              <w:ind w:left="0" w:leftChars="0" w:right="0" w:rightChars="0"/>
              <w:jc w:val="center"/>
              <w:textAlignment w:val="top"/>
              <w:rPr>
                <w:rFonts w:hint="eastAsia" w:ascii="Times New Roman" w:hAnsi="Times New Roman" w:eastAsia="仿宋_GB2312" w:cs="Times New Roman"/>
                <w:color w:val="auto"/>
                <w:kern w:val="2"/>
                <w:sz w:val="24"/>
                <w:szCs w:val="24"/>
                <w:lang w:val="en-US" w:eastAsia="zh-CN" w:bidi="ar-SA"/>
              </w:rPr>
            </w:pPr>
            <w:r>
              <w:rPr>
                <w:rFonts w:hint="eastAsia" w:eastAsia="仿宋_GB2312"/>
                <w:color w:val="auto"/>
                <w:kern w:val="2"/>
                <w:lang w:val="en-US" w:eastAsia="zh-CN"/>
              </w:rPr>
              <w:t>不去种脐</w:t>
            </w:r>
          </w:p>
        </w:tc>
        <w:tc>
          <w:tcPr>
            <w:tcW w:w="1115" w:type="dxa"/>
            <w:tcBorders>
              <w:top w:val="single" w:color="auto" w:sz="4" w:space="0"/>
              <w:bottom w:val="single" w:color="auto" w:sz="4" w:space="0"/>
            </w:tcBorders>
            <w:noWrap w:val="0"/>
            <w:vAlign w:val="top"/>
          </w:tcPr>
          <w:p w14:paraId="3BAEA1CC">
            <w:pPr>
              <w:pStyle w:val="6"/>
              <w:keepNext w:val="0"/>
              <w:keepLines w:val="0"/>
              <w:widowControl/>
              <w:suppressLineNumbers w:val="0"/>
              <w:adjustRightInd w:val="0"/>
              <w:snapToGrid w:val="0"/>
              <w:ind w:left="0" w:leftChars="0" w:right="0" w:rightChars="0"/>
              <w:jc w:val="center"/>
              <w:textAlignment w:val="top"/>
              <w:rPr>
                <w:rFonts w:hint="eastAsia" w:ascii="Times New Roman" w:hAnsi="Times New Roman" w:eastAsia="仿宋_GB2312" w:cs="Times New Roman"/>
                <w:color w:val="auto"/>
                <w:kern w:val="2"/>
                <w:sz w:val="24"/>
                <w:szCs w:val="24"/>
                <w:lang w:val="en-US" w:eastAsia="zh-CN" w:bidi="ar-SA"/>
              </w:rPr>
            </w:pPr>
            <w:r>
              <w:rPr>
                <w:rFonts w:hint="eastAsia" w:eastAsia="仿宋_GB2312"/>
                <w:color w:val="auto"/>
                <w:kern w:val="2"/>
                <w:lang w:val="en-US" w:eastAsia="zh-CN"/>
              </w:rPr>
              <w:t>去种脐</w:t>
            </w:r>
          </w:p>
        </w:tc>
      </w:tr>
      <w:tr w14:paraId="071AD00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single" w:color="auto" w:sz="4" w:space="0"/>
            </w:tcBorders>
            <w:noWrap w:val="0"/>
            <w:vAlign w:val="center"/>
          </w:tcPr>
          <w:p w14:paraId="30EBA35A">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催芽总数</w:t>
            </w:r>
          </w:p>
        </w:tc>
        <w:tc>
          <w:tcPr>
            <w:tcW w:w="1221" w:type="dxa"/>
            <w:tcBorders>
              <w:top w:val="single" w:color="auto" w:sz="4" w:space="0"/>
            </w:tcBorders>
            <w:noWrap w:val="0"/>
            <w:vAlign w:val="top"/>
          </w:tcPr>
          <w:p w14:paraId="63F2F455">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40</w:t>
            </w:r>
          </w:p>
        </w:tc>
        <w:tc>
          <w:tcPr>
            <w:tcW w:w="970" w:type="dxa"/>
            <w:tcBorders>
              <w:top w:val="single" w:color="auto" w:sz="4" w:space="0"/>
            </w:tcBorders>
            <w:noWrap w:val="0"/>
            <w:vAlign w:val="top"/>
          </w:tcPr>
          <w:p w14:paraId="73DAE3A3">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40</w:t>
            </w:r>
          </w:p>
        </w:tc>
        <w:tc>
          <w:tcPr>
            <w:tcW w:w="1320" w:type="dxa"/>
            <w:tcBorders>
              <w:top w:val="single" w:color="auto" w:sz="4" w:space="0"/>
            </w:tcBorders>
            <w:noWrap w:val="0"/>
            <w:vAlign w:val="top"/>
          </w:tcPr>
          <w:p w14:paraId="5EB3EB09">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1060" w:type="dxa"/>
            <w:tcBorders>
              <w:top w:val="single" w:color="auto" w:sz="4" w:space="0"/>
            </w:tcBorders>
            <w:noWrap w:val="0"/>
            <w:vAlign w:val="top"/>
          </w:tcPr>
          <w:p w14:paraId="6C06A6D0">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15</w:t>
            </w:r>
          </w:p>
        </w:tc>
        <w:tc>
          <w:tcPr>
            <w:tcW w:w="1240" w:type="dxa"/>
            <w:tcBorders>
              <w:top w:val="single" w:color="auto" w:sz="4" w:space="0"/>
            </w:tcBorders>
            <w:noWrap w:val="0"/>
            <w:vAlign w:val="top"/>
          </w:tcPr>
          <w:p w14:paraId="7EDDE6F4">
            <w:pPr>
              <w:pStyle w:val="6"/>
              <w:keepNext w:val="0"/>
              <w:keepLines w:val="0"/>
              <w:widowControl/>
              <w:suppressLineNumbers w:val="0"/>
              <w:adjustRightInd w:val="0"/>
              <w:snapToGrid w:val="0"/>
              <w:ind w:left="0" w:leftChars="0" w:right="0" w:rightChars="0"/>
              <w:jc w:val="center"/>
              <w:textAlignment w:val="top"/>
              <w:rPr>
                <w:rFonts w:hint="eastAsia" w:ascii="Times New Roman" w:hAnsi="Times New Roman" w:eastAsia="仿宋_GB2312" w:cs="Times New Roman"/>
                <w:color w:val="auto"/>
                <w:kern w:val="2"/>
                <w:sz w:val="24"/>
                <w:szCs w:val="24"/>
                <w:lang w:val="en-US" w:eastAsia="zh-CN" w:bidi="ar-SA"/>
              </w:rPr>
            </w:pPr>
            <w:r>
              <w:rPr>
                <w:rFonts w:hint="eastAsia" w:eastAsia="仿宋_GB2312"/>
                <w:color w:val="auto"/>
                <w:kern w:val="2"/>
                <w:lang w:val="en-US" w:eastAsia="zh-CN"/>
              </w:rPr>
              <w:t>20</w:t>
            </w:r>
          </w:p>
        </w:tc>
        <w:tc>
          <w:tcPr>
            <w:tcW w:w="1115" w:type="dxa"/>
            <w:tcBorders>
              <w:top w:val="single" w:color="auto" w:sz="4" w:space="0"/>
            </w:tcBorders>
            <w:noWrap w:val="0"/>
            <w:vAlign w:val="top"/>
          </w:tcPr>
          <w:p w14:paraId="7DAEAADF">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20</w:t>
            </w:r>
          </w:p>
        </w:tc>
      </w:tr>
      <w:tr w14:paraId="1DF06B9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noWrap w:val="0"/>
            <w:vAlign w:val="center"/>
          </w:tcPr>
          <w:p w14:paraId="3801B15C">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发芽数</w:t>
            </w:r>
          </w:p>
        </w:tc>
        <w:tc>
          <w:tcPr>
            <w:tcW w:w="1221" w:type="dxa"/>
            <w:noWrap w:val="0"/>
            <w:vAlign w:val="top"/>
          </w:tcPr>
          <w:p w14:paraId="3BB04DBE">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8</w:t>
            </w:r>
          </w:p>
        </w:tc>
        <w:tc>
          <w:tcPr>
            <w:tcW w:w="970" w:type="dxa"/>
            <w:noWrap w:val="0"/>
            <w:vAlign w:val="top"/>
          </w:tcPr>
          <w:p w14:paraId="42E826C4">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11</w:t>
            </w:r>
          </w:p>
        </w:tc>
        <w:tc>
          <w:tcPr>
            <w:tcW w:w="1320" w:type="dxa"/>
            <w:noWrap w:val="0"/>
            <w:vAlign w:val="top"/>
          </w:tcPr>
          <w:p w14:paraId="75691829">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w:t>
            </w:r>
          </w:p>
        </w:tc>
        <w:tc>
          <w:tcPr>
            <w:tcW w:w="1060" w:type="dxa"/>
            <w:noWrap w:val="0"/>
            <w:vAlign w:val="top"/>
          </w:tcPr>
          <w:p w14:paraId="3AA40EB1">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6</w:t>
            </w:r>
          </w:p>
        </w:tc>
        <w:tc>
          <w:tcPr>
            <w:tcW w:w="1240" w:type="dxa"/>
            <w:noWrap w:val="0"/>
            <w:vAlign w:val="top"/>
          </w:tcPr>
          <w:p w14:paraId="34DA28D7">
            <w:pPr>
              <w:pStyle w:val="6"/>
              <w:keepNext w:val="0"/>
              <w:keepLines w:val="0"/>
              <w:widowControl/>
              <w:suppressLineNumbers w:val="0"/>
              <w:adjustRightInd w:val="0"/>
              <w:snapToGrid w:val="0"/>
              <w:ind w:left="0" w:leftChars="0" w:right="0" w:rightChars="0"/>
              <w:jc w:val="center"/>
              <w:textAlignment w:val="top"/>
              <w:rPr>
                <w:rFonts w:hint="eastAsia" w:ascii="Times New Roman" w:hAnsi="Times New Roman" w:eastAsia="仿宋_GB2312" w:cs="Times New Roman"/>
                <w:color w:val="auto"/>
                <w:kern w:val="2"/>
                <w:sz w:val="24"/>
                <w:szCs w:val="24"/>
                <w:lang w:val="en-US" w:eastAsia="zh-CN" w:bidi="ar-SA"/>
              </w:rPr>
            </w:pPr>
            <w:r>
              <w:rPr>
                <w:rFonts w:hint="eastAsia" w:eastAsia="仿宋_GB2312"/>
                <w:color w:val="auto"/>
                <w:kern w:val="2"/>
                <w:lang w:val="en-US" w:eastAsia="zh-CN"/>
              </w:rPr>
              <w:t>11</w:t>
            </w:r>
          </w:p>
        </w:tc>
        <w:tc>
          <w:tcPr>
            <w:tcW w:w="1115" w:type="dxa"/>
            <w:noWrap w:val="0"/>
            <w:vAlign w:val="top"/>
          </w:tcPr>
          <w:p w14:paraId="054095A5">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17</w:t>
            </w:r>
          </w:p>
        </w:tc>
      </w:tr>
      <w:tr w14:paraId="06D0A16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noWrap w:val="0"/>
            <w:vAlign w:val="center"/>
          </w:tcPr>
          <w:p w14:paraId="2CFAE71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发芽率</w:t>
            </w:r>
          </w:p>
        </w:tc>
        <w:tc>
          <w:tcPr>
            <w:tcW w:w="1221" w:type="dxa"/>
            <w:noWrap w:val="0"/>
            <w:vAlign w:val="top"/>
          </w:tcPr>
          <w:p w14:paraId="03852B3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970" w:type="dxa"/>
            <w:noWrap w:val="0"/>
            <w:vAlign w:val="top"/>
          </w:tcPr>
          <w:p w14:paraId="0196B5A7">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27%</w:t>
            </w:r>
          </w:p>
        </w:tc>
        <w:tc>
          <w:tcPr>
            <w:tcW w:w="1320" w:type="dxa"/>
            <w:noWrap w:val="0"/>
            <w:vAlign w:val="top"/>
          </w:tcPr>
          <w:p w14:paraId="2405F193">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c>
          <w:tcPr>
            <w:tcW w:w="1060" w:type="dxa"/>
            <w:noWrap w:val="0"/>
            <w:vAlign w:val="top"/>
          </w:tcPr>
          <w:p w14:paraId="5316DE51">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40%</w:t>
            </w:r>
          </w:p>
        </w:tc>
        <w:tc>
          <w:tcPr>
            <w:tcW w:w="1240" w:type="dxa"/>
            <w:noWrap w:val="0"/>
            <w:vAlign w:val="top"/>
          </w:tcPr>
          <w:p w14:paraId="4B809958">
            <w:pPr>
              <w:pStyle w:val="6"/>
              <w:keepNext w:val="0"/>
              <w:keepLines w:val="0"/>
              <w:widowControl/>
              <w:suppressLineNumbers w:val="0"/>
              <w:adjustRightInd w:val="0"/>
              <w:snapToGrid w:val="0"/>
              <w:ind w:left="0" w:leftChars="0" w:right="0" w:rightChars="0"/>
              <w:jc w:val="center"/>
              <w:textAlignment w:val="top"/>
              <w:rPr>
                <w:rFonts w:hint="eastAsia" w:ascii="Times New Roman" w:hAnsi="Times New Roman" w:eastAsia="仿宋_GB2312" w:cs="Times New Roman"/>
                <w:color w:val="auto"/>
                <w:kern w:val="2"/>
                <w:sz w:val="24"/>
                <w:szCs w:val="24"/>
                <w:lang w:val="en-US" w:eastAsia="zh-CN" w:bidi="ar-SA"/>
              </w:rPr>
            </w:pPr>
            <w:r>
              <w:rPr>
                <w:rFonts w:hint="eastAsia" w:eastAsia="仿宋_GB2312"/>
                <w:color w:val="auto"/>
                <w:kern w:val="2"/>
                <w:lang w:val="en-US" w:eastAsia="zh-CN"/>
              </w:rPr>
              <w:t>65%</w:t>
            </w:r>
          </w:p>
        </w:tc>
        <w:tc>
          <w:tcPr>
            <w:tcW w:w="1115" w:type="dxa"/>
            <w:noWrap w:val="0"/>
            <w:vAlign w:val="top"/>
          </w:tcPr>
          <w:p w14:paraId="4174589E">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85%</w:t>
            </w:r>
          </w:p>
        </w:tc>
      </w:tr>
    </w:tbl>
    <w:p w14:paraId="731E1153">
      <w:pPr>
        <w:pStyle w:val="13"/>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default" w:eastAsia="仿宋_GB2312"/>
          <w:color w:val="auto"/>
          <w:sz w:val="24"/>
          <w:szCs w:val="24"/>
          <w:lang w:val="en-US" w:eastAsia="zh-CN"/>
        </w:rPr>
      </w:pPr>
      <w:r>
        <w:rPr>
          <w:rFonts w:hint="eastAsia" w:eastAsia="仿宋_GB2312"/>
          <w:color w:val="auto"/>
          <w:sz w:val="24"/>
          <w:szCs w:val="24"/>
          <w:lang w:val="en-US" w:eastAsia="zh-CN"/>
        </w:rPr>
        <w:t>结合催芽温度结果和种子处理结果，总体以去种脐32~36℃进行催芽，35℃~36℃发芽率最佳。</w:t>
      </w:r>
    </w:p>
    <w:p w14:paraId="107DC69E">
      <w:pPr>
        <w:pStyle w:val="13"/>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200"/>
        <w:textAlignment w:val="auto"/>
        <w:rPr>
          <w:rFonts w:hint="eastAsia" w:eastAsia="仿宋_GB2312"/>
          <w:color w:val="auto"/>
          <w:sz w:val="24"/>
          <w:szCs w:val="24"/>
          <w:lang w:val="en-US" w:eastAsia="zh-CN"/>
        </w:rPr>
      </w:pPr>
      <w:r>
        <w:rPr>
          <w:rFonts w:hint="eastAsia" w:eastAsia="仿宋_GB2312"/>
          <w:color w:val="auto"/>
          <w:sz w:val="24"/>
          <w:szCs w:val="24"/>
          <w:lang w:val="en-US" w:eastAsia="zh-CN"/>
        </w:rPr>
        <w:t xml:space="preserve">4、幼苗培养温度 </w:t>
      </w:r>
    </w:p>
    <w:p w14:paraId="6FB1C4E7">
      <w:pPr>
        <w:pStyle w:val="13"/>
        <w:keepNext w:val="0"/>
        <w:keepLines w:val="0"/>
        <w:pageBreakBefore w:val="0"/>
        <w:widowControl w:val="0"/>
        <w:numPr>
          <w:ilvl w:val="0"/>
          <w:numId w:val="0"/>
        </w:numPr>
        <w:kinsoku/>
        <w:wordWrap/>
        <w:overflowPunct/>
        <w:topLinePunct w:val="0"/>
        <w:autoSpaceDE/>
        <w:autoSpaceDN/>
        <w:bidi w:val="0"/>
        <w:adjustRightInd/>
        <w:snapToGrid/>
        <w:spacing w:after="0" w:line="440" w:lineRule="exact"/>
        <w:jc w:val="center"/>
        <w:textAlignment w:val="auto"/>
        <w:rPr>
          <w:rFonts w:hint="default" w:eastAsia="仿宋_GB2312"/>
          <w:color w:val="auto"/>
          <w:sz w:val="24"/>
          <w:szCs w:val="24"/>
          <w:lang w:val="en-US" w:eastAsia="zh-CN"/>
        </w:rPr>
      </w:pPr>
      <w:r>
        <w:rPr>
          <w:rFonts w:hint="eastAsia" w:eastAsia="仿宋_GB2312"/>
          <w:color w:val="auto"/>
          <w:sz w:val="24"/>
          <w:szCs w:val="24"/>
          <w:lang w:val="en-US" w:eastAsia="zh-CN"/>
        </w:rPr>
        <w:t>表5 不同幼苗培育温度对比</w:t>
      </w:r>
    </w:p>
    <w:tbl>
      <w:tblPr>
        <w:tblStyle w:val="7"/>
        <w:tblW w:w="4377"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1"/>
        <w:gridCol w:w="1549"/>
        <w:gridCol w:w="1517"/>
      </w:tblGrid>
      <w:tr w14:paraId="47E707D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bottom w:val="single" w:color="auto" w:sz="4" w:space="0"/>
            </w:tcBorders>
            <w:noWrap w:val="0"/>
            <w:vAlign w:val="top"/>
          </w:tcPr>
          <w:p w14:paraId="5ACED0E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催芽温度</w:t>
            </w:r>
          </w:p>
        </w:tc>
        <w:tc>
          <w:tcPr>
            <w:tcW w:w="1549" w:type="dxa"/>
            <w:tcBorders>
              <w:bottom w:val="single" w:color="auto" w:sz="4" w:space="0"/>
            </w:tcBorders>
            <w:noWrap w:val="0"/>
            <w:vAlign w:val="top"/>
          </w:tcPr>
          <w:p w14:paraId="30C1C1E0">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25℃</w:t>
            </w:r>
            <w:r>
              <w:rPr>
                <w:rFonts w:hint="eastAsia" w:eastAsia="仿宋_GB2312"/>
                <w:color w:val="auto"/>
                <w:sz w:val="24"/>
                <w:szCs w:val="24"/>
                <w:lang w:val="en-US" w:eastAsia="zh-CN"/>
              </w:rPr>
              <w:t>~2</w:t>
            </w:r>
            <w:r>
              <w:rPr>
                <w:rFonts w:hint="eastAsia" w:eastAsia="仿宋_GB2312"/>
                <w:color w:val="auto"/>
                <w:kern w:val="2"/>
                <w:lang w:val="en-US" w:eastAsia="zh-CN"/>
              </w:rPr>
              <w:t>7℃</w:t>
            </w:r>
          </w:p>
        </w:tc>
        <w:tc>
          <w:tcPr>
            <w:tcW w:w="1517" w:type="dxa"/>
            <w:tcBorders>
              <w:bottom w:val="single" w:color="auto" w:sz="4" w:space="0"/>
            </w:tcBorders>
            <w:noWrap w:val="0"/>
            <w:vAlign w:val="top"/>
          </w:tcPr>
          <w:p w14:paraId="3D744E9E">
            <w:pPr>
              <w:pStyle w:val="6"/>
              <w:keepNext w:val="0"/>
              <w:keepLines w:val="0"/>
              <w:widowControl/>
              <w:suppressLineNumbers w:val="0"/>
              <w:adjustRightInd w:val="0"/>
              <w:snapToGrid w:val="0"/>
              <w:ind w:left="0" w:right="0"/>
              <w:jc w:val="center"/>
              <w:textAlignment w:val="top"/>
              <w:rPr>
                <w:rFonts w:hint="default" w:eastAsia="仿宋_GB2312"/>
                <w:color w:val="auto"/>
                <w:kern w:val="2"/>
                <w:lang w:val="en-US" w:eastAsia="zh-CN"/>
              </w:rPr>
            </w:pPr>
            <w:r>
              <w:rPr>
                <w:rFonts w:hint="eastAsia" w:eastAsia="仿宋_GB2312"/>
                <w:color w:val="auto"/>
                <w:kern w:val="2"/>
                <w:lang w:val="en-US" w:eastAsia="zh-CN"/>
              </w:rPr>
              <w:t>30℃</w:t>
            </w:r>
            <w:r>
              <w:rPr>
                <w:rFonts w:hint="eastAsia" w:eastAsia="仿宋_GB2312"/>
                <w:color w:val="auto"/>
                <w:sz w:val="24"/>
                <w:szCs w:val="24"/>
                <w:lang w:val="en-US" w:eastAsia="zh-CN"/>
              </w:rPr>
              <w:t>~32</w:t>
            </w:r>
            <w:r>
              <w:rPr>
                <w:rFonts w:hint="eastAsia" w:eastAsia="仿宋_GB2312"/>
                <w:color w:val="auto"/>
                <w:kern w:val="2"/>
                <w:lang w:val="en-US" w:eastAsia="zh-CN"/>
              </w:rPr>
              <w:t>℃</w:t>
            </w:r>
          </w:p>
        </w:tc>
      </w:tr>
      <w:tr w14:paraId="04507A0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tcBorders>
              <w:top w:val="single" w:color="auto" w:sz="4" w:space="0"/>
            </w:tcBorders>
            <w:noWrap w:val="0"/>
            <w:vAlign w:val="center"/>
          </w:tcPr>
          <w:p w14:paraId="67B282C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幼苗总数</w:t>
            </w:r>
          </w:p>
        </w:tc>
        <w:tc>
          <w:tcPr>
            <w:tcW w:w="1549" w:type="dxa"/>
            <w:tcBorders>
              <w:top w:val="single" w:color="auto" w:sz="4" w:space="0"/>
            </w:tcBorders>
            <w:noWrap w:val="0"/>
            <w:vAlign w:val="top"/>
          </w:tcPr>
          <w:p w14:paraId="1B3E481F">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15</w:t>
            </w:r>
          </w:p>
        </w:tc>
        <w:tc>
          <w:tcPr>
            <w:tcW w:w="1517" w:type="dxa"/>
            <w:tcBorders>
              <w:top w:val="single" w:color="auto" w:sz="4" w:space="0"/>
            </w:tcBorders>
            <w:noWrap w:val="0"/>
            <w:vAlign w:val="top"/>
          </w:tcPr>
          <w:p w14:paraId="15F19D1A">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30</w:t>
            </w:r>
          </w:p>
        </w:tc>
      </w:tr>
      <w:tr w14:paraId="2163CC0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noWrap w:val="0"/>
            <w:vAlign w:val="center"/>
          </w:tcPr>
          <w:p w14:paraId="7D293DA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成苗总数</w:t>
            </w:r>
          </w:p>
        </w:tc>
        <w:tc>
          <w:tcPr>
            <w:tcW w:w="1549" w:type="dxa"/>
            <w:noWrap w:val="0"/>
            <w:vAlign w:val="top"/>
          </w:tcPr>
          <w:p w14:paraId="2C6B6761">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1</w:t>
            </w:r>
          </w:p>
        </w:tc>
        <w:tc>
          <w:tcPr>
            <w:tcW w:w="1517" w:type="dxa"/>
            <w:noWrap w:val="0"/>
            <w:vAlign w:val="top"/>
          </w:tcPr>
          <w:p w14:paraId="1C7D660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20</w:t>
            </w:r>
          </w:p>
        </w:tc>
      </w:tr>
      <w:tr w14:paraId="575A81C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11" w:type="dxa"/>
            <w:noWrap w:val="0"/>
            <w:vAlign w:val="center"/>
          </w:tcPr>
          <w:p w14:paraId="309D9566">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成苗率</w:t>
            </w:r>
          </w:p>
        </w:tc>
        <w:tc>
          <w:tcPr>
            <w:tcW w:w="1549" w:type="dxa"/>
            <w:noWrap w:val="0"/>
            <w:vAlign w:val="top"/>
          </w:tcPr>
          <w:p w14:paraId="7DBB9AA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6.67%</w:t>
            </w:r>
          </w:p>
        </w:tc>
        <w:tc>
          <w:tcPr>
            <w:tcW w:w="1517" w:type="dxa"/>
            <w:noWrap w:val="0"/>
            <w:vAlign w:val="top"/>
          </w:tcPr>
          <w:p w14:paraId="5FBB62E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67.7%</w:t>
            </w:r>
          </w:p>
        </w:tc>
      </w:tr>
    </w:tbl>
    <w:p w14:paraId="6525FF3D">
      <w:pPr>
        <w:pStyle w:val="13"/>
        <w:keepNext w:val="0"/>
        <w:keepLines w:val="0"/>
        <w:pageBreakBefore w:val="0"/>
        <w:widowControl w:val="0"/>
        <w:numPr>
          <w:ilvl w:val="0"/>
          <w:numId w:val="0"/>
        </w:numPr>
        <w:kinsoku/>
        <w:wordWrap/>
        <w:overflowPunct/>
        <w:topLinePunct w:val="0"/>
        <w:autoSpaceDE/>
        <w:autoSpaceDN/>
        <w:bidi w:val="0"/>
        <w:adjustRightInd/>
        <w:snapToGrid/>
        <w:spacing w:after="0" w:line="440" w:lineRule="exact"/>
        <w:ind w:leftChars="200"/>
        <w:textAlignment w:val="auto"/>
        <w:rPr>
          <w:rFonts w:hint="default" w:eastAsia="仿宋_GB2312"/>
          <w:color w:val="auto"/>
          <w:sz w:val="24"/>
          <w:szCs w:val="24"/>
          <w:lang w:val="en-US" w:eastAsia="zh-CN"/>
        </w:rPr>
      </w:pPr>
      <w:r>
        <w:rPr>
          <w:rFonts w:hint="eastAsia" w:eastAsia="仿宋_GB2312"/>
          <w:color w:val="auto"/>
          <w:sz w:val="24"/>
          <w:szCs w:val="24"/>
          <w:lang w:val="en-US" w:eastAsia="zh-CN"/>
        </w:rPr>
        <w:t>幼苗培育温度30℃~32℃。</w:t>
      </w:r>
    </w:p>
    <w:p w14:paraId="7609D631">
      <w:pPr>
        <w:pStyle w:val="13"/>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imes New Roman" w:hAnsi="Times New Roman" w:eastAsia="仿宋_GB2312"/>
          <w:color w:val="auto"/>
          <w:sz w:val="24"/>
          <w:szCs w:val="24"/>
          <w:lang w:val="en-US" w:eastAsia="zh-CN"/>
        </w:rPr>
      </w:pPr>
      <w:r>
        <w:rPr>
          <w:rFonts w:hint="eastAsia" w:ascii="Times New Roman" w:hAnsi="Times New Roman" w:eastAsia="仿宋_GB2312"/>
          <w:color w:val="FF0000"/>
          <w:sz w:val="24"/>
          <w:szCs w:val="24"/>
        </w:rPr>
        <w:t xml:space="preserve"> </w:t>
      </w:r>
      <w:r>
        <w:rPr>
          <w:rFonts w:hint="eastAsia" w:ascii="Times New Roman" w:hAnsi="Times New Roman" w:eastAsia="仿宋_GB2312"/>
          <w:color w:val="auto"/>
          <w:sz w:val="24"/>
          <w:szCs w:val="24"/>
        </w:rPr>
        <w:t xml:space="preserve"> </w:t>
      </w:r>
      <w:r>
        <w:rPr>
          <w:rFonts w:hint="eastAsia" w:eastAsia="仿宋_GB2312"/>
          <w:color w:val="auto"/>
          <w:sz w:val="24"/>
          <w:szCs w:val="24"/>
          <w:lang w:val="en-US" w:eastAsia="zh-CN"/>
        </w:rPr>
        <w:t>5、</w:t>
      </w:r>
      <w:r>
        <w:rPr>
          <w:rFonts w:hint="eastAsia" w:ascii="Times New Roman" w:hAnsi="Times New Roman" w:eastAsia="仿宋_GB2312"/>
          <w:color w:val="auto"/>
          <w:sz w:val="24"/>
          <w:szCs w:val="24"/>
        </w:rPr>
        <w:t>栽培</w:t>
      </w:r>
      <w:r>
        <w:rPr>
          <w:rFonts w:hint="eastAsia" w:eastAsia="仿宋_GB2312"/>
          <w:color w:val="auto"/>
          <w:sz w:val="24"/>
          <w:szCs w:val="24"/>
          <w:lang w:val="en-US" w:eastAsia="zh-CN"/>
        </w:rPr>
        <w:t>时间</w:t>
      </w:r>
    </w:p>
    <w:p w14:paraId="1AEA7259">
      <w:pPr>
        <w:pStyle w:val="13"/>
        <w:keepNext w:val="0"/>
        <w:keepLines w:val="0"/>
        <w:pageBreakBefore w:val="0"/>
        <w:widowControl w:val="0"/>
        <w:kinsoku/>
        <w:wordWrap/>
        <w:overflowPunct/>
        <w:topLinePunct w:val="0"/>
        <w:autoSpaceDE/>
        <w:autoSpaceDN/>
        <w:bidi w:val="0"/>
        <w:adjustRightInd/>
        <w:snapToGrid/>
        <w:spacing w:after="0" w:line="440" w:lineRule="exact"/>
        <w:jc w:val="center"/>
        <w:textAlignment w:val="auto"/>
        <w:rPr>
          <w:rFonts w:ascii="Times New Roman" w:hAnsi="Times New Roman" w:eastAsia="仿宋_GB2312"/>
          <w:color w:val="auto"/>
          <w:sz w:val="24"/>
          <w:szCs w:val="24"/>
        </w:rPr>
      </w:pPr>
      <w:r>
        <w:rPr>
          <w:rFonts w:hint="eastAsia" w:ascii="Times New Roman" w:hAnsi="Times New Roman" w:eastAsia="仿宋_GB2312"/>
          <w:color w:val="auto"/>
          <w:sz w:val="24"/>
          <w:szCs w:val="24"/>
        </w:rPr>
        <w:t>表</w:t>
      </w:r>
      <w:r>
        <w:rPr>
          <w:rFonts w:hint="eastAsia" w:eastAsia="仿宋_GB2312"/>
          <w:color w:val="auto"/>
          <w:sz w:val="24"/>
          <w:szCs w:val="24"/>
          <w:lang w:val="en-US" w:eastAsia="zh-CN"/>
        </w:rPr>
        <w:t>6</w:t>
      </w:r>
      <w:r>
        <w:rPr>
          <w:rFonts w:hint="eastAsia" w:ascii="Times New Roman" w:hAnsi="Times New Roman" w:eastAsia="仿宋_GB2312"/>
          <w:color w:val="auto"/>
          <w:sz w:val="24"/>
          <w:szCs w:val="24"/>
        </w:rPr>
        <w:t xml:space="preserve"> 不同栽培时间对比</w:t>
      </w:r>
    </w:p>
    <w:tbl>
      <w:tblPr>
        <w:tblStyle w:val="7"/>
        <w:tblW w:w="7668"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1"/>
        <w:gridCol w:w="1070"/>
        <w:gridCol w:w="5327"/>
      </w:tblGrid>
      <w:tr w14:paraId="2FD0225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341" w:type="dxa"/>
            <w:gridSpan w:val="2"/>
            <w:tcBorders>
              <w:bottom w:val="single" w:color="auto" w:sz="4" w:space="0"/>
            </w:tcBorders>
            <w:noWrap w:val="0"/>
            <w:vAlign w:val="center"/>
          </w:tcPr>
          <w:p w14:paraId="4642B53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default" w:ascii="Times New Roman" w:hAnsi="Times New Roman" w:eastAsia="仿宋_GB2312"/>
                <w:color w:val="auto"/>
                <w:kern w:val="2"/>
              </w:rPr>
              <w:t>统计类目</w:t>
            </w:r>
          </w:p>
        </w:tc>
        <w:tc>
          <w:tcPr>
            <w:tcW w:w="5327" w:type="dxa"/>
            <w:tcBorders>
              <w:bottom w:val="single" w:color="auto" w:sz="4" w:space="0"/>
            </w:tcBorders>
            <w:noWrap w:val="0"/>
            <w:vAlign w:val="top"/>
          </w:tcPr>
          <w:p w14:paraId="1820314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描述</w:t>
            </w:r>
          </w:p>
        </w:tc>
      </w:tr>
      <w:tr w14:paraId="096C4C9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1" w:type="dxa"/>
            <w:vMerge w:val="restart"/>
            <w:tcBorders>
              <w:top w:val="single" w:color="auto" w:sz="4" w:space="0"/>
            </w:tcBorders>
            <w:noWrap w:val="0"/>
            <w:vAlign w:val="center"/>
          </w:tcPr>
          <w:p w14:paraId="2BEF7CFB">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default" w:ascii="Times New Roman" w:hAnsi="Times New Roman" w:eastAsia="仿宋_GB2312"/>
                <w:color w:val="auto"/>
                <w:kern w:val="2"/>
              </w:rPr>
              <w:t>栽培时间</w:t>
            </w:r>
          </w:p>
        </w:tc>
        <w:tc>
          <w:tcPr>
            <w:tcW w:w="1070" w:type="dxa"/>
            <w:tcBorders>
              <w:top w:val="single" w:color="auto" w:sz="4" w:space="0"/>
            </w:tcBorders>
            <w:noWrap w:val="0"/>
            <w:vAlign w:val="center"/>
          </w:tcPr>
          <w:p w14:paraId="599887FD">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4月</w:t>
            </w:r>
          </w:p>
        </w:tc>
        <w:tc>
          <w:tcPr>
            <w:tcW w:w="5327" w:type="dxa"/>
            <w:tcBorders>
              <w:top w:val="single" w:color="auto" w:sz="4" w:space="0"/>
            </w:tcBorders>
            <w:noWrap w:val="0"/>
            <w:vAlign w:val="top"/>
          </w:tcPr>
          <w:p w14:paraId="48331109">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lang w:val="en-US" w:eastAsia="zh-CN"/>
              </w:rPr>
            </w:pPr>
            <w:r>
              <w:rPr>
                <w:rFonts w:hint="eastAsia" w:eastAsia="仿宋_GB2312"/>
                <w:color w:val="auto"/>
                <w:kern w:val="2"/>
                <w:lang w:val="en-US" w:eastAsia="zh-CN"/>
              </w:rPr>
              <w:t>昼夜温差大，成活率低，容易死亡</w:t>
            </w:r>
          </w:p>
        </w:tc>
      </w:tr>
      <w:tr w14:paraId="07B552B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1" w:type="dxa"/>
            <w:vMerge w:val="continue"/>
            <w:noWrap w:val="0"/>
            <w:vAlign w:val="center"/>
          </w:tcPr>
          <w:p w14:paraId="3A9952E0">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p>
        </w:tc>
        <w:tc>
          <w:tcPr>
            <w:tcW w:w="1070" w:type="dxa"/>
            <w:noWrap w:val="0"/>
            <w:vAlign w:val="center"/>
          </w:tcPr>
          <w:p w14:paraId="09670C7F">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5</w:t>
            </w:r>
            <w:r>
              <w:rPr>
                <w:rFonts w:hint="eastAsia" w:ascii="Times New Roman" w:hAnsi="Times New Roman" w:eastAsia="仿宋_GB2312"/>
                <w:color w:val="auto"/>
                <w:lang w:bidi="ar"/>
              </w:rPr>
              <w:t>月</w:t>
            </w:r>
          </w:p>
        </w:tc>
        <w:tc>
          <w:tcPr>
            <w:tcW w:w="5327" w:type="dxa"/>
            <w:noWrap w:val="0"/>
            <w:vAlign w:val="top"/>
          </w:tcPr>
          <w:p w14:paraId="388C997C">
            <w:pPr>
              <w:pStyle w:val="6"/>
              <w:keepNext w:val="0"/>
              <w:keepLines w:val="0"/>
              <w:widowControl/>
              <w:suppressLineNumbers w:val="0"/>
              <w:adjustRightInd w:val="0"/>
              <w:snapToGrid w:val="0"/>
              <w:ind w:left="0" w:right="0"/>
              <w:jc w:val="center"/>
              <w:textAlignment w:val="top"/>
              <w:rPr>
                <w:rFonts w:hint="eastAsia" w:ascii="Times New Roman" w:hAnsi="Times New Roman" w:eastAsia="仿宋_GB2312"/>
                <w:color w:val="auto"/>
                <w:kern w:val="2"/>
              </w:rPr>
            </w:pPr>
            <w:r>
              <w:rPr>
                <w:rFonts w:hint="eastAsia" w:ascii="Times New Roman" w:hAnsi="Times New Roman" w:eastAsia="仿宋_GB2312"/>
                <w:color w:val="auto"/>
                <w:kern w:val="2"/>
              </w:rPr>
              <w:t>成活率高，缓苗周期短，景观形成快</w:t>
            </w:r>
          </w:p>
        </w:tc>
      </w:tr>
      <w:tr w14:paraId="6348F49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1" w:type="dxa"/>
            <w:vMerge w:val="continue"/>
            <w:noWrap w:val="0"/>
            <w:vAlign w:val="top"/>
          </w:tcPr>
          <w:p w14:paraId="3E7A3BB8">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p>
        </w:tc>
        <w:tc>
          <w:tcPr>
            <w:tcW w:w="1070" w:type="dxa"/>
            <w:noWrap w:val="0"/>
            <w:vAlign w:val="center"/>
          </w:tcPr>
          <w:p w14:paraId="7F255AE9">
            <w:pPr>
              <w:keepNext w:val="0"/>
              <w:keepLines w:val="0"/>
              <w:widowControl/>
              <w:suppressLineNumbers w:val="0"/>
              <w:adjustRightInd w:val="0"/>
              <w:snapToGrid w:val="0"/>
              <w:spacing w:before="0" w:beforeAutospacing="0" w:after="0" w:afterAutospacing="0"/>
              <w:ind w:left="0" w:right="0"/>
              <w:jc w:val="center"/>
              <w:textAlignment w:val="top"/>
              <w:rPr>
                <w:rFonts w:hint="eastAsia" w:ascii="Times New Roman" w:hAnsi="Times New Roman" w:eastAsia="仿宋_GB2312"/>
                <w:color w:val="auto"/>
              </w:rPr>
            </w:pPr>
            <w:r>
              <w:rPr>
                <w:rFonts w:hint="eastAsia" w:ascii="Times New Roman" w:hAnsi="Times New Roman" w:eastAsia="仿宋_GB2312"/>
                <w:color w:val="auto"/>
              </w:rPr>
              <w:t>6</w:t>
            </w:r>
            <w:r>
              <w:rPr>
                <w:rFonts w:hint="eastAsia" w:ascii="Times New Roman" w:hAnsi="Times New Roman" w:eastAsia="仿宋_GB2312"/>
                <w:color w:val="auto"/>
                <w:sz w:val="24"/>
                <w:szCs w:val="24"/>
                <w:lang w:bidi="ar"/>
              </w:rPr>
              <w:t>月</w:t>
            </w:r>
          </w:p>
        </w:tc>
        <w:tc>
          <w:tcPr>
            <w:tcW w:w="5327" w:type="dxa"/>
            <w:noWrap w:val="0"/>
            <w:vAlign w:val="top"/>
          </w:tcPr>
          <w:p w14:paraId="28E2AD6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成活率高，缓苗周期短，景观形成快</w:t>
            </w:r>
          </w:p>
        </w:tc>
      </w:tr>
      <w:tr w14:paraId="451D043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71" w:type="dxa"/>
            <w:vMerge w:val="continue"/>
            <w:noWrap w:val="0"/>
            <w:vAlign w:val="top"/>
          </w:tcPr>
          <w:p w14:paraId="03440FF9">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p>
        </w:tc>
        <w:tc>
          <w:tcPr>
            <w:tcW w:w="1070" w:type="dxa"/>
            <w:noWrap w:val="0"/>
            <w:vAlign w:val="center"/>
          </w:tcPr>
          <w:p w14:paraId="083099E5">
            <w:pPr>
              <w:keepNext w:val="0"/>
              <w:keepLines w:val="0"/>
              <w:widowControl/>
              <w:suppressLineNumbers w:val="0"/>
              <w:adjustRightInd w:val="0"/>
              <w:snapToGrid w:val="0"/>
              <w:spacing w:before="0" w:beforeAutospacing="0" w:after="0" w:afterAutospacing="0"/>
              <w:ind w:left="0" w:right="0"/>
              <w:jc w:val="center"/>
              <w:textAlignment w:val="top"/>
              <w:rPr>
                <w:rFonts w:hint="eastAsia" w:ascii="Times New Roman" w:hAnsi="Times New Roman" w:eastAsia="仿宋_GB2312"/>
                <w:color w:val="auto"/>
              </w:rPr>
            </w:pPr>
            <w:r>
              <w:rPr>
                <w:rFonts w:hint="eastAsia" w:ascii="Times New Roman" w:hAnsi="Times New Roman" w:eastAsia="仿宋_GB2312"/>
                <w:color w:val="auto"/>
              </w:rPr>
              <w:t>7</w:t>
            </w:r>
            <w:r>
              <w:rPr>
                <w:rFonts w:hint="eastAsia" w:ascii="Times New Roman" w:hAnsi="Times New Roman" w:eastAsia="仿宋_GB2312"/>
                <w:color w:val="auto"/>
                <w:sz w:val="24"/>
                <w:szCs w:val="24"/>
                <w:lang w:bidi="ar"/>
              </w:rPr>
              <w:t>月</w:t>
            </w:r>
          </w:p>
        </w:tc>
        <w:tc>
          <w:tcPr>
            <w:tcW w:w="5327" w:type="dxa"/>
            <w:noWrap w:val="0"/>
            <w:vAlign w:val="top"/>
          </w:tcPr>
          <w:p w14:paraId="47B72A67">
            <w:pPr>
              <w:pStyle w:val="6"/>
              <w:keepNext w:val="0"/>
              <w:keepLines w:val="0"/>
              <w:widowControl/>
              <w:suppressLineNumbers w:val="0"/>
              <w:adjustRightInd w:val="0"/>
              <w:snapToGrid w:val="0"/>
              <w:ind w:left="0" w:right="0"/>
              <w:jc w:val="center"/>
              <w:textAlignment w:val="top"/>
              <w:rPr>
                <w:rFonts w:hint="default" w:ascii="Times New Roman" w:hAnsi="Times New Roman" w:eastAsia="仿宋_GB2312"/>
                <w:color w:val="auto"/>
                <w:kern w:val="2"/>
              </w:rPr>
            </w:pPr>
            <w:r>
              <w:rPr>
                <w:rFonts w:hint="eastAsia" w:ascii="Times New Roman" w:hAnsi="Times New Roman" w:eastAsia="仿宋_GB2312"/>
                <w:color w:val="auto"/>
                <w:kern w:val="2"/>
              </w:rPr>
              <w:t>成活率高，周期短，景观形成快，观赏期短但影响下一年度的种子采收</w:t>
            </w:r>
          </w:p>
        </w:tc>
      </w:tr>
    </w:tbl>
    <w:p w14:paraId="6DC64DDC">
      <w:pPr>
        <w:spacing w:line="500" w:lineRule="exact"/>
        <w:ind w:firstLine="480" w:firstLineChars="200"/>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rPr>
        <w:t>栽培时间宜选5~6</w:t>
      </w:r>
      <w:r>
        <w:rPr>
          <w:rFonts w:hint="eastAsia" w:ascii="Times New Roman" w:hAnsi="Times New Roman" w:eastAsia="仿宋_GB2312"/>
          <w:color w:val="auto"/>
          <w:sz w:val="24"/>
          <w:szCs w:val="24"/>
          <w:lang w:bidi="ar"/>
        </w:rPr>
        <w:t>月。</w:t>
      </w:r>
    </w:p>
    <w:p w14:paraId="0D4DFCE9">
      <w:pPr>
        <w:spacing w:line="500" w:lineRule="exact"/>
        <w:ind w:firstLine="480" w:firstLineChars="20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表</w:t>
      </w:r>
      <w:r>
        <w:rPr>
          <w:rFonts w:hint="eastAsia" w:eastAsia="仿宋_GB2312"/>
          <w:color w:val="auto"/>
          <w:sz w:val="24"/>
          <w:szCs w:val="24"/>
          <w:lang w:val="en-US" w:eastAsia="zh-CN" w:bidi="ar"/>
        </w:rPr>
        <w:t>7</w:t>
      </w:r>
      <w:r>
        <w:rPr>
          <w:rFonts w:hint="eastAsia" w:ascii="Times New Roman" w:hAnsi="Times New Roman" w:eastAsia="仿宋_GB2312"/>
          <w:color w:val="auto"/>
          <w:sz w:val="24"/>
          <w:szCs w:val="24"/>
          <w:lang w:bidi="ar"/>
        </w:rPr>
        <w:t xml:space="preserve"> 广西露天种植王莲阶段预测参考</w:t>
      </w:r>
    </w:p>
    <w:tbl>
      <w:tblPr>
        <w:tblStyle w:val="7"/>
        <w:tblW w:w="9043"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33"/>
        <w:gridCol w:w="1735"/>
        <w:gridCol w:w="1332"/>
        <w:gridCol w:w="1543"/>
        <w:gridCol w:w="1510"/>
        <w:gridCol w:w="1590"/>
      </w:tblGrid>
      <w:tr w14:paraId="1096FC7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tcBorders>
            <w:shd w:val="clear" w:color="auto" w:fill="auto"/>
            <w:noWrap w:val="0"/>
            <w:vAlign w:val="top"/>
          </w:tcPr>
          <w:p w14:paraId="25100AC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p>
        </w:tc>
        <w:tc>
          <w:tcPr>
            <w:tcW w:w="1735" w:type="dxa"/>
            <w:tcBorders>
              <w:top w:val="single" w:color="auto" w:sz="4" w:space="0"/>
            </w:tcBorders>
            <w:shd w:val="clear" w:color="auto" w:fill="auto"/>
            <w:noWrap w:val="0"/>
            <w:vAlign w:val="top"/>
          </w:tcPr>
          <w:p w14:paraId="10C88D2A">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露天种植时间</w:t>
            </w:r>
          </w:p>
        </w:tc>
        <w:tc>
          <w:tcPr>
            <w:tcW w:w="1332" w:type="dxa"/>
            <w:tcBorders>
              <w:top w:val="single" w:color="auto" w:sz="4" w:space="0"/>
            </w:tcBorders>
            <w:shd w:val="clear" w:color="auto" w:fill="auto"/>
            <w:noWrap w:val="0"/>
            <w:vAlign w:val="top"/>
          </w:tcPr>
          <w:p w14:paraId="5E787AB0">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花期预测</w:t>
            </w:r>
          </w:p>
        </w:tc>
        <w:tc>
          <w:tcPr>
            <w:tcW w:w="1543" w:type="dxa"/>
            <w:tcBorders>
              <w:top w:val="single" w:color="auto" w:sz="4" w:space="0"/>
            </w:tcBorders>
            <w:shd w:val="clear" w:color="auto" w:fill="auto"/>
            <w:noWrap w:val="0"/>
            <w:vAlign w:val="top"/>
          </w:tcPr>
          <w:p w14:paraId="38957E74">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留种期预测</w:t>
            </w:r>
          </w:p>
        </w:tc>
        <w:tc>
          <w:tcPr>
            <w:tcW w:w="1510" w:type="dxa"/>
            <w:tcBorders>
              <w:top w:val="single" w:color="auto" w:sz="4" w:space="0"/>
            </w:tcBorders>
            <w:shd w:val="clear" w:color="auto" w:fill="auto"/>
            <w:noWrap w:val="0"/>
            <w:vAlign w:val="top"/>
          </w:tcPr>
          <w:p w14:paraId="6C58F894">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受害期预测</w:t>
            </w:r>
          </w:p>
        </w:tc>
        <w:tc>
          <w:tcPr>
            <w:tcW w:w="1590" w:type="dxa"/>
            <w:tcBorders>
              <w:top w:val="single" w:color="auto" w:sz="4" w:space="0"/>
            </w:tcBorders>
            <w:shd w:val="clear" w:color="auto" w:fill="auto"/>
            <w:noWrap w:val="0"/>
            <w:vAlign w:val="top"/>
          </w:tcPr>
          <w:p w14:paraId="1E01CEFE">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死亡期预测</w:t>
            </w:r>
          </w:p>
        </w:tc>
      </w:tr>
      <w:tr w14:paraId="58F114C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tcBorders>
            <w:shd w:val="clear" w:color="auto" w:fill="auto"/>
            <w:noWrap w:val="0"/>
            <w:vAlign w:val="top"/>
          </w:tcPr>
          <w:p w14:paraId="3475DA4B">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南宁</w:t>
            </w:r>
          </w:p>
        </w:tc>
        <w:tc>
          <w:tcPr>
            <w:tcW w:w="1735" w:type="dxa"/>
            <w:tcBorders>
              <w:top w:val="single" w:color="auto" w:sz="4" w:space="0"/>
            </w:tcBorders>
            <w:shd w:val="clear" w:color="auto" w:fill="auto"/>
            <w:noWrap w:val="0"/>
            <w:vAlign w:val="top"/>
          </w:tcPr>
          <w:p w14:paraId="5363B04E">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4月-5月</w:t>
            </w:r>
          </w:p>
        </w:tc>
        <w:tc>
          <w:tcPr>
            <w:tcW w:w="1332" w:type="dxa"/>
            <w:tcBorders>
              <w:top w:val="single" w:color="auto" w:sz="4" w:space="0"/>
            </w:tcBorders>
            <w:shd w:val="clear" w:color="auto" w:fill="auto"/>
            <w:noWrap w:val="0"/>
            <w:vAlign w:val="top"/>
          </w:tcPr>
          <w:p w14:paraId="268BE214">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7月</w:t>
            </w:r>
          </w:p>
        </w:tc>
        <w:tc>
          <w:tcPr>
            <w:tcW w:w="1543" w:type="dxa"/>
            <w:tcBorders>
              <w:top w:val="single" w:color="auto" w:sz="4" w:space="0"/>
            </w:tcBorders>
            <w:shd w:val="clear" w:color="auto" w:fill="auto"/>
            <w:noWrap w:val="0"/>
            <w:vAlign w:val="top"/>
          </w:tcPr>
          <w:p w14:paraId="7D2511BD">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9-10月</w:t>
            </w:r>
          </w:p>
        </w:tc>
        <w:tc>
          <w:tcPr>
            <w:tcW w:w="1510" w:type="dxa"/>
            <w:tcBorders>
              <w:top w:val="single" w:color="auto" w:sz="4" w:space="0"/>
            </w:tcBorders>
            <w:shd w:val="clear" w:color="auto" w:fill="auto"/>
            <w:noWrap w:val="0"/>
            <w:vAlign w:val="top"/>
          </w:tcPr>
          <w:p w14:paraId="36E2C044">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11月</w:t>
            </w:r>
          </w:p>
        </w:tc>
        <w:tc>
          <w:tcPr>
            <w:tcW w:w="1590" w:type="dxa"/>
            <w:tcBorders>
              <w:top w:val="single" w:color="auto" w:sz="4" w:space="0"/>
            </w:tcBorders>
            <w:shd w:val="clear" w:color="auto" w:fill="auto"/>
            <w:noWrap w:val="0"/>
            <w:vAlign w:val="top"/>
          </w:tcPr>
          <w:p w14:paraId="1ADCE295">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s="Times New Roman"/>
                <w:color w:val="auto"/>
                <w:kern w:val="2"/>
                <w:sz w:val="24"/>
                <w:szCs w:val="24"/>
                <w:lang w:val="en-US" w:eastAsia="zh-CN" w:bidi="ar"/>
              </w:rPr>
            </w:pPr>
            <w:r>
              <w:rPr>
                <w:rFonts w:hint="eastAsia" w:ascii="Times New Roman" w:hAnsi="Times New Roman" w:eastAsia="仿宋_GB2312"/>
                <w:color w:val="auto"/>
                <w:sz w:val="24"/>
                <w:szCs w:val="24"/>
                <w:lang w:bidi="ar"/>
              </w:rPr>
              <w:t>12月</w:t>
            </w:r>
          </w:p>
        </w:tc>
      </w:tr>
      <w:tr w14:paraId="6370FB4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6BEA9E27">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桂林</w:t>
            </w:r>
          </w:p>
        </w:tc>
        <w:tc>
          <w:tcPr>
            <w:tcW w:w="1735" w:type="dxa"/>
            <w:shd w:val="clear" w:color="auto" w:fill="auto"/>
            <w:noWrap w:val="0"/>
            <w:vAlign w:val="top"/>
          </w:tcPr>
          <w:p w14:paraId="5914A216">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5月-6月</w:t>
            </w:r>
          </w:p>
        </w:tc>
        <w:tc>
          <w:tcPr>
            <w:tcW w:w="1332" w:type="dxa"/>
            <w:shd w:val="clear" w:color="auto" w:fill="auto"/>
            <w:noWrap w:val="0"/>
            <w:vAlign w:val="top"/>
          </w:tcPr>
          <w:p w14:paraId="5385EC83">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8月</w:t>
            </w:r>
          </w:p>
        </w:tc>
        <w:tc>
          <w:tcPr>
            <w:tcW w:w="1543" w:type="dxa"/>
            <w:shd w:val="clear" w:color="auto" w:fill="auto"/>
            <w:noWrap w:val="0"/>
            <w:vAlign w:val="top"/>
          </w:tcPr>
          <w:p w14:paraId="46A7270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c>
          <w:tcPr>
            <w:tcW w:w="1510" w:type="dxa"/>
            <w:shd w:val="clear" w:color="auto" w:fill="auto"/>
            <w:noWrap w:val="0"/>
            <w:vAlign w:val="top"/>
          </w:tcPr>
          <w:p w14:paraId="5A944A76">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10月</w:t>
            </w:r>
          </w:p>
        </w:tc>
        <w:tc>
          <w:tcPr>
            <w:tcW w:w="1590" w:type="dxa"/>
            <w:shd w:val="clear" w:color="auto" w:fill="auto"/>
            <w:noWrap w:val="0"/>
            <w:vAlign w:val="top"/>
          </w:tcPr>
          <w:p w14:paraId="1504A9A2">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r>
      <w:tr w14:paraId="09C38B0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49F7174A">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柳州</w:t>
            </w:r>
          </w:p>
        </w:tc>
        <w:tc>
          <w:tcPr>
            <w:tcW w:w="1735" w:type="dxa"/>
            <w:shd w:val="clear" w:color="auto" w:fill="auto"/>
            <w:noWrap w:val="0"/>
            <w:vAlign w:val="top"/>
          </w:tcPr>
          <w:p w14:paraId="4CC0E395">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5月</w:t>
            </w:r>
          </w:p>
        </w:tc>
        <w:tc>
          <w:tcPr>
            <w:tcW w:w="1332" w:type="dxa"/>
            <w:shd w:val="clear" w:color="auto" w:fill="auto"/>
            <w:noWrap w:val="0"/>
            <w:vAlign w:val="top"/>
          </w:tcPr>
          <w:p w14:paraId="19C9E2EA">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4A6BA148">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9-10月</w:t>
            </w:r>
          </w:p>
        </w:tc>
        <w:tc>
          <w:tcPr>
            <w:tcW w:w="1510" w:type="dxa"/>
            <w:shd w:val="clear" w:color="auto" w:fill="auto"/>
            <w:noWrap w:val="0"/>
            <w:vAlign w:val="top"/>
          </w:tcPr>
          <w:p w14:paraId="30E24912">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10月</w:t>
            </w:r>
          </w:p>
        </w:tc>
        <w:tc>
          <w:tcPr>
            <w:tcW w:w="1590" w:type="dxa"/>
            <w:shd w:val="clear" w:color="auto" w:fill="auto"/>
            <w:noWrap w:val="0"/>
            <w:vAlign w:val="top"/>
          </w:tcPr>
          <w:p w14:paraId="2BB6D05A">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11-12月</w:t>
            </w:r>
          </w:p>
        </w:tc>
      </w:tr>
      <w:tr w14:paraId="7B72A71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14657AC3">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北海</w:t>
            </w:r>
          </w:p>
        </w:tc>
        <w:tc>
          <w:tcPr>
            <w:tcW w:w="1735" w:type="dxa"/>
            <w:shd w:val="clear" w:color="auto" w:fill="auto"/>
            <w:noWrap w:val="0"/>
            <w:vAlign w:val="top"/>
          </w:tcPr>
          <w:p w14:paraId="6E17E0E9">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4月</w:t>
            </w:r>
          </w:p>
        </w:tc>
        <w:tc>
          <w:tcPr>
            <w:tcW w:w="1332" w:type="dxa"/>
            <w:shd w:val="clear" w:color="auto" w:fill="auto"/>
            <w:noWrap w:val="0"/>
            <w:vAlign w:val="top"/>
          </w:tcPr>
          <w:p w14:paraId="78D9145E">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0BE0608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9-10月</w:t>
            </w:r>
          </w:p>
        </w:tc>
        <w:tc>
          <w:tcPr>
            <w:tcW w:w="1510" w:type="dxa"/>
            <w:shd w:val="clear" w:color="auto" w:fill="auto"/>
            <w:noWrap w:val="0"/>
            <w:vAlign w:val="top"/>
          </w:tcPr>
          <w:p w14:paraId="18C3F3CC">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c>
          <w:tcPr>
            <w:tcW w:w="1590" w:type="dxa"/>
            <w:shd w:val="clear" w:color="auto" w:fill="auto"/>
            <w:noWrap w:val="0"/>
            <w:vAlign w:val="top"/>
          </w:tcPr>
          <w:p w14:paraId="25D63F94">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12月</w:t>
            </w:r>
          </w:p>
        </w:tc>
      </w:tr>
      <w:tr w14:paraId="32E8B5EB">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186541E3">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河池</w:t>
            </w:r>
          </w:p>
        </w:tc>
        <w:tc>
          <w:tcPr>
            <w:tcW w:w="1735" w:type="dxa"/>
            <w:shd w:val="clear" w:color="auto" w:fill="auto"/>
            <w:noWrap w:val="0"/>
            <w:vAlign w:val="top"/>
          </w:tcPr>
          <w:p w14:paraId="14DE89F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5月</w:t>
            </w:r>
          </w:p>
        </w:tc>
        <w:tc>
          <w:tcPr>
            <w:tcW w:w="1332" w:type="dxa"/>
            <w:shd w:val="clear" w:color="auto" w:fill="auto"/>
            <w:noWrap w:val="0"/>
            <w:vAlign w:val="top"/>
          </w:tcPr>
          <w:p w14:paraId="58D691E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7BC4E9E9">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9月</w:t>
            </w:r>
          </w:p>
        </w:tc>
        <w:tc>
          <w:tcPr>
            <w:tcW w:w="1510" w:type="dxa"/>
            <w:shd w:val="clear" w:color="auto" w:fill="auto"/>
            <w:noWrap w:val="0"/>
            <w:vAlign w:val="top"/>
          </w:tcPr>
          <w:p w14:paraId="3DF28593">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10月</w:t>
            </w:r>
          </w:p>
        </w:tc>
        <w:tc>
          <w:tcPr>
            <w:tcW w:w="1590" w:type="dxa"/>
            <w:shd w:val="clear" w:color="auto" w:fill="auto"/>
            <w:noWrap w:val="0"/>
            <w:vAlign w:val="top"/>
          </w:tcPr>
          <w:p w14:paraId="6E614924">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r>
      <w:tr w14:paraId="04922A8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26ED1EA2">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玉林</w:t>
            </w:r>
          </w:p>
        </w:tc>
        <w:tc>
          <w:tcPr>
            <w:tcW w:w="1735" w:type="dxa"/>
            <w:shd w:val="clear" w:color="auto" w:fill="auto"/>
            <w:noWrap w:val="0"/>
            <w:vAlign w:val="top"/>
          </w:tcPr>
          <w:p w14:paraId="032A7349">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4月-5月</w:t>
            </w:r>
          </w:p>
        </w:tc>
        <w:tc>
          <w:tcPr>
            <w:tcW w:w="1332" w:type="dxa"/>
            <w:shd w:val="clear" w:color="auto" w:fill="auto"/>
            <w:noWrap w:val="0"/>
            <w:vAlign w:val="top"/>
          </w:tcPr>
          <w:p w14:paraId="73D79AB7">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246CD9B6">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9月-10月</w:t>
            </w:r>
          </w:p>
        </w:tc>
        <w:tc>
          <w:tcPr>
            <w:tcW w:w="1510" w:type="dxa"/>
            <w:shd w:val="clear" w:color="auto" w:fill="auto"/>
            <w:noWrap w:val="0"/>
            <w:vAlign w:val="top"/>
          </w:tcPr>
          <w:p w14:paraId="63D276D6">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c>
          <w:tcPr>
            <w:tcW w:w="1590" w:type="dxa"/>
            <w:shd w:val="clear" w:color="auto" w:fill="auto"/>
            <w:noWrap w:val="0"/>
            <w:vAlign w:val="top"/>
          </w:tcPr>
          <w:p w14:paraId="2F5DCF15">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12月</w:t>
            </w:r>
          </w:p>
        </w:tc>
      </w:tr>
      <w:tr w14:paraId="72C696F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5B513E67">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百色</w:t>
            </w:r>
          </w:p>
        </w:tc>
        <w:tc>
          <w:tcPr>
            <w:tcW w:w="1735" w:type="dxa"/>
            <w:shd w:val="clear" w:color="auto" w:fill="auto"/>
            <w:noWrap w:val="0"/>
            <w:vAlign w:val="top"/>
          </w:tcPr>
          <w:p w14:paraId="39C1570B">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4月-5月</w:t>
            </w:r>
          </w:p>
        </w:tc>
        <w:tc>
          <w:tcPr>
            <w:tcW w:w="1332" w:type="dxa"/>
            <w:shd w:val="clear" w:color="auto" w:fill="auto"/>
            <w:noWrap w:val="0"/>
            <w:vAlign w:val="top"/>
          </w:tcPr>
          <w:p w14:paraId="0429434D">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5F0D1B21">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9月</w:t>
            </w:r>
          </w:p>
        </w:tc>
        <w:tc>
          <w:tcPr>
            <w:tcW w:w="1510" w:type="dxa"/>
            <w:shd w:val="clear" w:color="auto" w:fill="auto"/>
            <w:noWrap w:val="0"/>
            <w:vAlign w:val="top"/>
          </w:tcPr>
          <w:p w14:paraId="1603286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w:t>
            </w:r>
          </w:p>
        </w:tc>
        <w:tc>
          <w:tcPr>
            <w:tcW w:w="1590" w:type="dxa"/>
            <w:shd w:val="clear" w:color="auto" w:fill="auto"/>
            <w:noWrap w:val="0"/>
            <w:vAlign w:val="top"/>
          </w:tcPr>
          <w:p w14:paraId="1B4497A3">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12月</w:t>
            </w:r>
          </w:p>
        </w:tc>
      </w:tr>
      <w:tr w14:paraId="63F8B13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1333" w:type="dxa"/>
            <w:shd w:val="clear" w:color="auto" w:fill="auto"/>
            <w:noWrap w:val="0"/>
            <w:vAlign w:val="top"/>
          </w:tcPr>
          <w:p w14:paraId="584C75A4">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梧州</w:t>
            </w:r>
          </w:p>
        </w:tc>
        <w:tc>
          <w:tcPr>
            <w:tcW w:w="1735" w:type="dxa"/>
            <w:shd w:val="clear" w:color="auto" w:fill="auto"/>
            <w:noWrap w:val="0"/>
            <w:vAlign w:val="top"/>
          </w:tcPr>
          <w:p w14:paraId="742B0975">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4月-5月</w:t>
            </w:r>
          </w:p>
        </w:tc>
        <w:tc>
          <w:tcPr>
            <w:tcW w:w="1332" w:type="dxa"/>
            <w:shd w:val="clear" w:color="auto" w:fill="auto"/>
            <w:noWrap w:val="0"/>
            <w:vAlign w:val="top"/>
          </w:tcPr>
          <w:p w14:paraId="0E252387">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7月</w:t>
            </w:r>
          </w:p>
        </w:tc>
        <w:tc>
          <w:tcPr>
            <w:tcW w:w="1543" w:type="dxa"/>
            <w:shd w:val="clear" w:color="auto" w:fill="auto"/>
            <w:noWrap w:val="0"/>
            <w:vAlign w:val="top"/>
          </w:tcPr>
          <w:p w14:paraId="01EF5B3E">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9月-10月</w:t>
            </w:r>
          </w:p>
        </w:tc>
        <w:tc>
          <w:tcPr>
            <w:tcW w:w="1510" w:type="dxa"/>
            <w:shd w:val="clear" w:color="auto" w:fill="auto"/>
            <w:noWrap w:val="0"/>
            <w:vAlign w:val="top"/>
          </w:tcPr>
          <w:p w14:paraId="2BA31480">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10月</w:t>
            </w:r>
          </w:p>
        </w:tc>
        <w:tc>
          <w:tcPr>
            <w:tcW w:w="1590" w:type="dxa"/>
            <w:shd w:val="clear" w:color="auto" w:fill="auto"/>
            <w:noWrap w:val="0"/>
            <w:vAlign w:val="top"/>
          </w:tcPr>
          <w:p w14:paraId="15396FE2">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ascii="Times New Roman" w:hAnsi="Times New Roman" w:eastAsia="仿宋_GB2312"/>
                <w:color w:val="auto"/>
                <w:sz w:val="24"/>
                <w:szCs w:val="24"/>
                <w:lang w:bidi="ar"/>
              </w:rPr>
              <w:t>11月-12月</w:t>
            </w:r>
          </w:p>
        </w:tc>
      </w:tr>
    </w:tbl>
    <w:p w14:paraId="189E8037">
      <w:pPr>
        <w:keepNext w:val="0"/>
        <w:keepLines w:val="0"/>
        <w:pageBreakBefore w:val="0"/>
        <w:widowControl w:val="0"/>
        <w:numPr>
          <w:ilvl w:val="0"/>
          <w:numId w:val="7"/>
        </w:numPr>
        <w:tabs>
          <w:tab w:val="left" w:pos="5169"/>
        </w:tabs>
        <w:kinsoku/>
        <w:wordWrap/>
        <w:overflowPunct/>
        <w:topLinePunct w:val="0"/>
        <w:autoSpaceDE/>
        <w:autoSpaceDN/>
        <w:bidi w:val="0"/>
        <w:adjustRightInd/>
        <w:snapToGrid/>
        <w:spacing w:line="500" w:lineRule="exact"/>
        <w:ind w:firstLine="480" w:firstLineChars="200"/>
        <w:textAlignment w:val="auto"/>
        <w:rPr>
          <w:rFonts w:hint="eastAsia" w:eastAsia="仿宋_GB2312"/>
          <w:color w:val="auto"/>
          <w:sz w:val="24"/>
          <w:szCs w:val="24"/>
          <w:lang w:val="en-US" w:eastAsia="zh-CN" w:bidi="ar"/>
        </w:rPr>
      </w:pPr>
      <w:r>
        <w:rPr>
          <w:rFonts w:hint="eastAsia" w:eastAsia="仿宋_GB2312"/>
          <w:color w:val="auto"/>
          <w:sz w:val="24"/>
          <w:szCs w:val="24"/>
          <w:lang w:val="en-US" w:eastAsia="zh-CN" w:bidi="ar"/>
        </w:rPr>
        <w:t>池栽穴孔大小及盆栽用盆大小对比</w:t>
      </w:r>
      <w:r>
        <w:rPr>
          <w:rFonts w:hint="eastAsia" w:eastAsia="仿宋_GB2312"/>
          <w:color w:val="auto"/>
          <w:sz w:val="24"/>
          <w:szCs w:val="24"/>
          <w:lang w:val="en-US" w:eastAsia="zh-CN" w:bidi="ar"/>
        </w:rPr>
        <w:tab/>
      </w:r>
      <w:r>
        <w:rPr>
          <w:rFonts w:hint="eastAsia" w:eastAsia="仿宋_GB2312"/>
          <w:color w:val="auto"/>
          <w:sz w:val="24"/>
          <w:szCs w:val="24"/>
          <w:lang w:val="en-US" w:eastAsia="zh-CN" w:bidi="ar"/>
        </w:rPr>
        <w:t xml:space="preserve">   </w:t>
      </w:r>
    </w:p>
    <w:p w14:paraId="4654034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default" w:eastAsia="仿宋_GB2312"/>
          <w:color w:val="auto"/>
          <w:sz w:val="24"/>
          <w:szCs w:val="24"/>
          <w:lang w:val="en-US" w:eastAsia="zh-CN" w:bidi="ar"/>
        </w:rPr>
      </w:pPr>
      <w:r>
        <w:rPr>
          <w:rFonts w:hint="eastAsia" w:eastAsia="仿宋_GB2312"/>
          <w:color w:val="auto"/>
          <w:sz w:val="24"/>
          <w:szCs w:val="24"/>
          <w:lang w:val="en-US" w:eastAsia="zh-CN" w:bidi="ar"/>
        </w:rPr>
        <w:t xml:space="preserve">    根据多年栽培经验发现王莲根系在生长旺季能够铺满1-2m</w:t>
      </w:r>
      <w:r>
        <w:rPr>
          <w:rFonts w:hint="eastAsia" w:eastAsia="仿宋_GB2312"/>
          <w:color w:val="auto"/>
          <w:sz w:val="24"/>
          <w:szCs w:val="24"/>
          <w:vertAlign w:val="superscript"/>
          <w:lang w:val="en-US" w:eastAsia="zh-CN" w:bidi="ar"/>
        </w:rPr>
        <w:t>2</w:t>
      </w:r>
      <w:r>
        <w:rPr>
          <w:rFonts w:hint="eastAsia" w:eastAsia="仿宋_GB2312"/>
          <w:color w:val="auto"/>
          <w:sz w:val="24"/>
          <w:szCs w:val="24"/>
          <w:lang w:val="en-US" w:eastAsia="zh-CN" w:bidi="ar"/>
        </w:rPr>
        <w:t>的土壤，根系在土壤中以水平走势为主，因此根据多年实践经验宜开穴130cm×130cm×50cm种植王莲的景观效果最佳。</w:t>
      </w:r>
    </w:p>
    <w:p w14:paraId="25F5693F">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eastAsia="仿宋_GB2312"/>
          <w:color w:val="auto"/>
          <w:sz w:val="24"/>
          <w:szCs w:val="24"/>
          <w:lang w:val="en-US" w:eastAsia="zh-CN" w:bidi="ar"/>
        </w:rPr>
      </w:pPr>
      <w:r>
        <w:rPr>
          <w:rFonts w:hint="eastAsia" w:eastAsia="仿宋_GB2312"/>
          <w:color w:val="auto"/>
          <w:sz w:val="24"/>
          <w:szCs w:val="24"/>
          <w:lang w:val="en-US" w:eastAsia="zh-CN" w:bidi="ar"/>
        </w:rPr>
        <w:t>表8 盆栽用盆大小对比</w:t>
      </w:r>
    </w:p>
    <w:p w14:paraId="4D523EF9">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eastAsia="仿宋_GB2312"/>
          <w:color w:val="auto"/>
          <w:sz w:val="24"/>
          <w:szCs w:val="24"/>
          <w:lang w:val="en-US" w:eastAsia="zh-CN" w:bidi="ar"/>
        </w:rPr>
      </w:pPr>
    </w:p>
    <w:tbl>
      <w:tblPr>
        <w:tblStyle w:val="7"/>
        <w:tblW w:w="8662"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09"/>
        <w:gridCol w:w="2405"/>
        <w:gridCol w:w="1357"/>
        <w:gridCol w:w="1691"/>
      </w:tblGrid>
      <w:tr w14:paraId="66013CA7">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09" w:type="dxa"/>
            <w:tcBorders>
              <w:top w:val="single" w:color="auto" w:sz="4" w:space="0"/>
            </w:tcBorders>
            <w:shd w:val="clear" w:color="auto" w:fill="auto"/>
            <w:noWrap w:val="0"/>
            <w:vAlign w:val="top"/>
          </w:tcPr>
          <w:p w14:paraId="64C235F2">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盆大小（外径cm×高度cm）</w:t>
            </w:r>
          </w:p>
        </w:tc>
        <w:tc>
          <w:tcPr>
            <w:tcW w:w="2405" w:type="dxa"/>
            <w:tcBorders>
              <w:top w:val="single" w:color="auto" w:sz="4" w:space="0"/>
            </w:tcBorders>
            <w:shd w:val="clear" w:color="auto" w:fill="auto"/>
            <w:noWrap w:val="0"/>
            <w:vAlign w:val="top"/>
          </w:tcPr>
          <w:p w14:paraId="06F9C662">
            <w:pPr>
              <w:keepNext w:val="0"/>
              <w:keepLines w:val="0"/>
              <w:suppressLineNumbers w:val="0"/>
              <w:spacing w:before="0" w:beforeAutospacing="0" w:after="0" w:afterAutospacing="0" w:line="500" w:lineRule="exact"/>
              <w:ind w:left="0" w:leftChars="0" w:right="0" w:rightChars="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叶子最大直径（cm）</w:t>
            </w:r>
          </w:p>
        </w:tc>
        <w:tc>
          <w:tcPr>
            <w:tcW w:w="1357" w:type="dxa"/>
            <w:tcBorders>
              <w:top w:val="single" w:color="auto" w:sz="4" w:space="0"/>
            </w:tcBorders>
            <w:shd w:val="clear" w:color="auto" w:fill="auto"/>
            <w:noWrap w:val="0"/>
            <w:vAlign w:val="top"/>
          </w:tcPr>
          <w:p w14:paraId="7743F04A">
            <w:pPr>
              <w:keepNext w:val="0"/>
              <w:keepLines w:val="0"/>
              <w:suppressLineNumbers w:val="0"/>
              <w:spacing w:before="0" w:beforeAutospacing="0" w:after="0" w:afterAutospacing="0" w:line="500" w:lineRule="exact"/>
              <w:ind w:left="0" w:leftChars="0" w:right="0" w:rightChars="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叶子数量</w:t>
            </w:r>
          </w:p>
        </w:tc>
        <w:tc>
          <w:tcPr>
            <w:tcW w:w="1691" w:type="dxa"/>
            <w:tcBorders>
              <w:top w:val="single" w:color="auto" w:sz="4" w:space="0"/>
            </w:tcBorders>
            <w:shd w:val="clear" w:color="auto" w:fill="auto"/>
            <w:noWrap w:val="0"/>
            <w:vAlign w:val="top"/>
          </w:tcPr>
          <w:p w14:paraId="0D5D9972">
            <w:pPr>
              <w:keepNext w:val="0"/>
              <w:keepLines w:val="0"/>
              <w:suppressLineNumbers w:val="0"/>
              <w:spacing w:before="0" w:beforeAutospacing="0" w:after="0" w:afterAutospacing="0" w:line="500" w:lineRule="exact"/>
              <w:ind w:left="0" w:leftChars="0" w:right="0" w:rightChars="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植株展幅（m）</w:t>
            </w:r>
          </w:p>
        </w:tc>
      </w:tr>
      <w:tr w14:paraId="478E271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09" w:type="dxa"/>
            <w:tcBorders>
              <w:top w:val="single" w:color="auto" w:sz="4" w:space="0"/>
            </w:tcBorders>
            <w:shd w:val="clear" w:color="auto" w:fill="auto"/>
            <w:noWrap w:val="0"/>
            <w:vAlign w:val="top"/>
          </w:tcPr>
          <w:p w14:paraId="5D31E504">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s="Times New Roman"/>
                <w:color w:val="auto"/>
                <w:kern w:val="2"/>
                <w:sz w:val="24"/>
                <w:szCs w:val="24"/>
                <w:lang w:val="en-US" w:eastAsia="zh-CN" w:bidi="ar"/>
              </w:rPr>
            </w:pPr>
            <w:r>
              <w:rPr>
                <w:rFonts w:hint="eastAsia" w:eastAsia="仿宋_GB2312" w:cs="Times New Roman"/>
                <w:color w:val="auto"/>
                <w:kern w:val="2"/>
                <w:sz w:val="24"/>
                <w:szCs w:val="24"/>
                <w:lang w:val="en-US" w:eastAsia="zh-CN" w:bidi="ar"/>
              </w:rPr>
              <w:t>80×42</w:t>
            </w:r>
          </w:p>
        </w:tc>
        <w:tc>
          <w:tcPr>
            <w:tcW w:w="2405" w:type="dxa"/>
            <w:tcBorders>
              <w:top w:val="single" w:color="auto" w:sz="4" w:space="0"/>
            </w:tcBorders>
            <w:shd w:val="clear" w:color="auto" w:fill="auto"/>
            <w:noWrap w:val="0"/>
            <w:vAlign w:val="top"/>
          </w:tcPr>
          <w:p w14:paraId="626BBB3D">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120</w:t>
            </w:r>
          </w:p>
        </w:tc>
        <w:tc>
          <w:tcPr>
            <w:tcW w:w="1357" w:type="dxa"/>
            <w:tcBorders>
              <w:top w:val="single" w:color="auto" w:sz="4" w:space="0"/>
            </w:tcBorders>
            <w:shd w:val="clear" w:color="auto" w:fill="auto"/>
            <w:noWrap w:val="0"/>
            <w:vAlign w:val="top"/>
          </w:tcPr>
          <w:p w14:paraId="686BE035">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15</w:t>
            </w:r>
          </w:p>
        </w:tc>
        <w:tc>
          <w:tcPr>
            <w:tcW w:w="1691" w:type="dxa"/>
            <w:tcBorders>
              <w:top w:val="single" w:color="auto" w:sz="4" w:space="0"/>
            </w:tcBorders>
            <w:shd w:val="clear" w:color="auto" w:fill="auto"/>
            <w:noWrap w:val="0"/>
            <w:vAlign w:val="top"/>
          </w:tcPr>
          <w:p w14:paraId="69BA344F">
            <w:pPr>
              <w:keepNext w:val="0"/>
              <w:keepLines w:val="0"/>
              <w:suppressLineNumbers w:val="0"/>
              <w:spacing w:before="0" w:beforeAutospacing="0" w:after="0" w:afterAutospacing="0" w:line="500" w:lineRule="exact"/>
              <w:ind w:left="0" w:leftChars="0" w:right="0" w:rightChars="0"/>
              <w:jc w:val="center"/>
              <w:rPr>
                <w:rFonts w:hint="eastAsia"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5</w:t>
            </w:r>
          </w:p>
        </w:tc>
      </w:tr>
      <w:tr w14:paraId="23090BE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09" w:type="dxa"/>
            <w:shd w:val="clear" w:color="auto" w:fill="auto"/>
            <w:noWrap w:val="0"/>
            <w:vAlign w:val="top"/>
          </w:tcPr>
          <w:p w14:paraId="5F200247">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eastAsia="仿宋_GB2312"/>
                <w:color w:val="auto"/>
                <w:sz w:val="24"/>
                <w:szCs w:val="24"/>
                <w:lang w:val="en-US" w:eastAsia="zh-CN" w:bidi="ar"/>
              </w:rPr>
              <w:t>65×36</w:t>
            </w:r>
          </w:p>
        </w:tc>
        <w:tc>
          <w:tcPr>
            <w:tcW w:w="2405" w:type="dxa"/>
            <w:shd w:val="clear" w:color="auto" w:fill="auto"/>
            <w:noWrap w:val="0"/>
            <w:vAlign w:val="top"/>
          </w:tcPr>
          <w:p w14:paraId="410E5401">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98</w:t>
            </w:r>
          </w:p>
        </w:tc>
        <w:tc>
          <w:tcPr>
            <w:tcW w:w="1357" w:type="dxa"/>
            <w:shd w:val="clear" w:color="auto" w:fill="auto"/>
            <w:noWrap w:val="0"/>
            <w:vAlign w:val="top"/>
          </w:tcPr>
          <w:p w14:paraId="312735C6">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10</w:t>
            </w:r>
          </w:p>
        </w:tc>
        <w:tc>
          <w:tcPr>
            <w:tcW w:w="1691" w:type="dxa"/>
            <w:shd w:val="clear" w:color="auto" w:fill="auto"/>
            <w:noWrap w:val="0"/>
            <w:vAlign w:val="top"/>
          </w:tcPr>
          <w:p w14:paraId="278CE947">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4.8</w:t>
            </w:r>
          </w:p>
        </w:tc>
      </w:tr>
      <w:tr w14:paraId="002B7C7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3209" w:type="dxa"/>
            <w:shd w:val="clear" w:color="auto" w:fill="auto"/>
            <w:noWrap w:val="0"/>
            <w:vAlign w:val="top"/>
          </w:tcPr>
          <w:p w14:paraId="11E0CF28">
            <w:pPr>
              <w:keepNext w:val="0"/>
              <w:keepLines w:val="0"/>
              <w:suppressLineNumbers w:val="0"/>
              <w:spacing w:before="0" w:beforeAutospacing="0" w:after="0" w:afterAutospacing="0" w:line="500" w:lineRule="exact"/>
              <w:ind w:left="0" w:right="0"/>
              <w:jc w:val="center"/>
              <w:rPr>
                <w:rFonts w:hint="eastAsia" w:ascii="Times New Roman" w:hAnsi="Times New Roman" w:eastAsia="仿宋_GB2312"/>
                <w:color w:val="auto"/>
                <w:sz w:val="24"/>
                <w:szCs w:val="24"/>
                <w:lang w:bidi="ar"/>
              </w:rPr>
            </w:pPr>
            <w:r>
              <w:rPr>
                <w:rFonts w:hint="eastAsia" w:eastAsia="仿宋_GB2312"/>
                <w:color w:val="auto"/>
                <w:sz w:val="24"/>
                <w:szCs w:val="24"/>
                <w:lang w:val="en-US" w:eastAsia="zh-CN" w:bidi="ar"/>
              </w:rPr>
              <w:t>55×30</w:t>
            </w:r>
          </w:p>
        </w:tc>
        <w:tc>
          <w:tcPr>
            <w:tcW w:w="2405" w:type="dxa"/>
            <w:shd w:val="clear" w:color="auto" w:fill="auto"/>
            <w:noWrap w:val="0"/>
            <w:vAlign w:val="top"/>
          </w:tcPr>
          <w:p w14:paraId="40C8B75B">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70</w:t>
            </w:r>
          </w:p>
        </w:tc>
        <w:tc>
          <w:tcPr>
            <w:tcW w:w="1357" w:type="dxa"/>
            <w:shd w:val="clear" w:color="auto" w:fill="auto"/>
            <w:noWrap w:val="0"/>
            <w:vAlign w:val="top"/>
          </w:tcPr>
          <w:p w14:paraId="47B803DC">
            <w:pPr>
              <w:keepNext w:val="0"/>
              <w:keepLines w:val="0"/>
              <w:suppressLineNumbers w:val="0"/>
              <w:spacing w:before="0" w:beforeAutospacing="0" w:after="0" w:afterAutospacing="0" w:line="500" w:lineRule="exact"/>
              <w:ind w:left="0" w:right="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8</w:t>
            </w:r>
          </w:p>
        </w:tc>
        <w:tc>
          <w:tcPr>
            <w:tcW w:w="1691" w:type="dxa"/>
            <w:shd w:val="clear" w:color="auto" w:fill="auto"/>
            <w:noWrap w:val="0"/>
            <w:vAlign w:val="top"/>
          </w:tcPr>
          <w:p w14:paraId="10C5EC2F">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2.8</w:t>
            </w:r>
          </w:p>
        </w:tc>
      </w:tr>
    </w:tbl>
    <w:p w14:paraId="448EB54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default" w:eastAsia="仿宋_GB2312"/>
          <w:color w:val="auto"/>
          <w:sz w:val="24"/>
          <w:szCs w:val="24"/>
          <w:lang w:val="en-US" w:eastAsia="zh-CN" w:bidi="ar"/>
        </w:rPr>
      </w:pPr>
      <w:r>
        <w:rPr>
          <w:rFonts w:hint="eastAsia" w:eastAsia="仿宋_GB2312"/>
          <w:color w:val="auto"/>
          <w:sz w:val="24"/>
          <w:szCs w:val="24"/>
          <w:lang w:val="en-US" w:eastAsia="zh-CN" w:bidi="ar"/>
        </w:rPr>
        <w:t>基于表9数据，采用80cm×42cm的花盆时，王莲的景观效果达到最佳，因此盆栽用盆大小宜选80cm×42cm。</w:t>
      </w:r>
    </w:p>
    <w:p w14:paraId="103ADDAF">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default" w:eastAsia="仿宋_GB2312"/>
          <w:color w:val="auto"/>
          <w:sz w:val="24"/>
          <w:szCs w:val="24"/>
          <w:lang w:val="en-US" w:eastAsia="zh-CN" w:bidi="ar"/>
        </w:rPr>
      </w:pPr>
      <w:r>
        <w:rPr>
          <w:rFonts w:hint="eastAsia" w:eastAsia="仿宋_GB2312"/>
          <w:color w:val="auto"/>
          <w:sz w:val="24"/>
          <w:szCs w:val="24"/>
          <w:lang w:val="en-US" w:eastAsia="zh-CN" w:bidi="ar"/>
        </w:rPr>
        <w:t>株行距</w:t>
      </w:r>
      <w:r>
        <w:rPr>
          <w:rFonts w:hint="eastAsia" w:eastAsia="仿宋_GB2312"/>
          <w:color w:val="auto"/>
          <w:sz w:val="24"/>
          <w:szCs w:val="24"/>
          <w:lang w:val="en-US" w:eastAsia="zh-CN" w:bidi="ar"/>
        </w:rPr>
        <w:br w:type="textWrapping"/>
      </w:r>
      <w:r>
        <w:rPr>
          <w:rFonts w:hint="eastAsia" w:eastAsia="仿宋_GB2312"/>
          <w:color w:val="auto"/>
          <w:sz w:val="24"/>
          <w:szCs w:val="24"/>
          <w:lang w:val="en-US" w:eastAsia="zh-CN" w:bidi="ar"/>
        </w:rPr>
        <w:t xml:space="preserve">    根据连续5年王莲的长势及测定情况，王莲叶片大小在1.0m-2m，每株王莲可同时生长10-15张叶片，其植株展幅半径约为5-10m，约需要30-50平方米的水面空间，因此株行距根据王莲生长所需空间要求确定为5m-6m×6m-10m。</w:t>
      </w:r>
    </w:p>
    <w:p w14:paraId="01412A5B">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jc w:val="left"/>
        <w:textAlignment w:val="auto"/>
        <w:rPr>
          <w:rFonts w:hint="default" w:eastAsia="仿宋_GB2312"/>
          <w:color w:val="auto"/>
          <w:sz w:val="24"/>
          <w:szCs w:val="24"/>
          <w:lang w:val="en-US" w:eastAsia="zh-CN" w:bidi="ar"/>
        </w:rPr>
      </w:pPr>
      <w:r>
        <w:rPr>
          <w:rFonts w:hint="eastAsia" w:eastAsia="仿宋_GB2312"/>
          <w:color w:val="auto"/>
          <w:sz w:val="24"/>
          <w:szCs w:val="24"/>
          <w:lang w:val="en-US" w:eastAsia="zh-CN" w:bidi="ar"/>
        </w:rPr>
        <w:t>水位</w:t>
      </w:r>
      <w:r>
        <w:rPr>
          <w:rFonts w:hint="eastAsia" w:eastAsia="仿宋_GB2312"/>
          <w:color w:val="auto"/>
          <w:sz w:val="24"/>
          <w:szCs w:val="24"/>
          <w:lang w:val="en-US" w:eastAsia="zh-CN" w:bidi="ar"/>
        </w:rPr>
        <w:br w:type="textWrapping"/>
      </w:r>
      <w:r>
        <w:rPr>
          <w:rFonts w:hint="eastAsia" w:eastAsia="仿宋_GB2312"/>
          <w:color w:val="auto"/>
          <w:sz w:val="24"/>
          <w:szCs w:val="24"/>
          <w:lang w:val="en-US" w:eastAsia="zh-CN" w:bidi="ar"/>
        </w:rPr>
        <w:t xml:space="preserve">    根据各单位的种植经验一般水位要求没过芽顶，水位过浅会导致其叶片小，植株展幅小，影响景观效果，水位过深会导致叶片不能及时出水，影响其光合作用，导致其生长受阻。根据多年实践经验30-100cm最佳。</w:t>
      </w:r>
    </w:p>
    <w:p w14:paraId="0D78BBB1">
      <w:pPr>
        <w:keepNext w:val="0"/>
        <w:keepLines w:val="0"/>
        <w:pageBreakBefore w:val="0"/>
        <w:kinsoku/>
        <w:wordWrap/>
        <w:overflowPunct/>
        <w:topLinePunct w:val="0"/>
        <w:autoSpaceDN/>
        <w:bidi w:val="0"/>
        <w:adjustRightInd w:val="0"/>
        <w:snapToGrid w:val="0"/>
        <w:spacing w:line="440" w:lineRule="exact"/>
        <w:ind w:firstLine="480" w:firstLineChars="20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表9 不同水位植株生长情况</w:t>
      </w:r>
      <w:bookmarkStart w:id="18" w:name="_GoBack"/>
      <w:bookmarkEnd w:id="18"/>
    </w:p>
    <w:tbl>
      <w:tblPr>
        <w:tblStyle w:val="7"/>
        <w:tblW w:w="6323"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27"/>
        <w:gridCol w:w="2405"/>
        <w:gridCol w:w="1691"/>
      </w:tblGrid>
      <w:tr w14:paraId="30B0B31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27" w:type="dxa"/>
            <w:tcBorders>
              <w:top w:val="single" w:color="auto" w:sz="4" w:space="0"/>
            </w:tcBorders>
            <w:shd w:val="clear" w:color="auto" w:fill="auto"/>
            <w:noWrap w:val="0"/>
            <w:vAlign w:val="top"/>
          </w:tcPr>
          <w:p w14:paraId="30AED93F">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高出土面水位（cm）</w:t>
            </w:r>
          </w:p>
        </w:tc>
        <w:tc>
          <w:tcPr>
            <w:tcW w:w="2405" w:type="dxa"/>
            <w:tcBorders>
              <w:top w:val="single" w:color="auto" w:sz="4" w:space="0"/>
            </w:tcBorders>
            <w:shd w:val="clear" w:color="auto" w:fill="auto"/>
            <w:noWrap w:val="0"/>
            <w:vAlign w:val="top"/>
          </w:tcPr>
          <w:p w14:paraId="54B72248">
            <w:pPr>
              <w:keepNext w:val="0"/>
              <w:keepLines w:val="0"/>
              <w:suppressLineNumbers w:val="0"/>
              <w:spacing w:before="0" w:beforeAutospacing="0" w:after="0" w:afterAutospacing="0" w:line="500" w:lineRule="exact"/>
              <w:ind w:left="0" w:leftChars="0" w:right="0" w:rightChars="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叶子最大直径（cm）</w:t>
            </w:r>
          </w:p>
        </w:tc>
        <w:tc>
          <w:tcPr>
            <w:tcW w:w="1691" w:type="dxa"/>
            <w:tcBorders>
              <w:top w:val="single" w:color="auto" w:sz="4" w:space="0"/>
            </w:tcBorders>
            <w:shd w:val="clear" w:color="auto" w:fill="auto"/>
            <w:noWrap w:val="0"/>
            <w:vAlign w:val="top"/>
          </w:tcPr>
          <w:p w14:paraId="43B3D532">
            <w:pPr>
              <w:keepNext w:val="0"/>
              <w:keepLines w:val="0"/>
              <w:suppressLineNumbers w:val="0"/>
              <w:spacing w:before="0" w:beforeAutospacing="0" w:after="0" w:afterAutospacing="0" w:line="500" w:lineRule="exact"/>
              <w:ind w:left="0" w:leftChars="0" w:right="0" w:rightChars="0"/>
              <w:jc w:val="center"/>
              <w:rPr>
                <w:rFonts w:hint="default" w:eastAsia="仿宋_GB2312"/>
                <w:color w:val="auto"/>
                <w:sz w:val="24"/>
                <w:szCs w:val="24"/>
                <w:lang w:val="en-US" w:eastAsia="zh-CN" w:bidi="ar"/>
              </w:rPr>
            </w:pPr>
            <w:r>
              <w:rPr>
                <w:rFonts w:hint="eastAsia" w:eastAsia="仿宋_GB2312"/>
                <w:color w:val="auto"/>
                <w:sz w:val="24"/>
                <w:szCs w:val="24"/>
                <w:lang w:val="en-US" w:eastAsia="zh-CN" w:bidi="ar"/>
              </w:rPr>
              <w:t>植株展幅（m）</w:t>
            </w:r>
          </w:p>
        </w:tc>
      </w:tr>
      <w:tr w14:paraId="34DC5DD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27" w:type="dxa"/>
            <w:tcBorders>
              <w:top w:val="single" w:color="auto" w:sz="4" w:space="0"/>
            </w:tcBorders>
            <w:shd w:val="clear" w:color="auto" w:fill="auto"/>
            <w:noWrap w:val="0"/>
            <w:vAlign w:val="top"/>
          </w:tcPr>
          <w:p w14:paraId="20C26599">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s="Times New Roman"/>
                <w:color w:val="auto"/>
                <w:kern w:val="2"/>
                <w:sz w:val="24"/>
                <w:szCs w:val="24"/>
                <w:lang w:val="en-US" w:eastAsia="zh-CN" w:bidi="ar"/>
              </w:rPr>
            </w:pPr>
            <w:r>
              <w:rPr>
                <w:rFonts w:hint="eastAsia" w:eastAsia="仿宋_GB2312"/>
                <w:color w:val="auto"/>
                <w:sz w:val="24"/>
                <w:szCs w:val="24"/>
                <w:lang w:val="en-US" w:eastAsia="zh-CN" w:bidi="ar"/>
              </w:rPr>
              <w:t>50-100</w:t>
            </w:r>
          </w:p>
        </w:tc>
        <w:tc>
          <w:tcPr>
            <w:tcW w:w="2405" w:type="dxa"/>
            <w:tcBorders>
              <w:top w:val="single" w:color="auto" w:sz="4" w:space="0"/>
            </w:tcBorders>
            <w:shd w:val="clear" w:color="auto" w:fill="auto"/>
            <w:noWrap w:val="0"/>
            <w:vAlign w:val="top"/>
          </w:tcPr>
          <w:p w14:paraId="6151F8A7">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150-200</w:t>
            </w:r>
          </w:p>
        </w:tc>
        <w:tc>
          <w:tcPr>
            <w:tcW w:w="1691" w:type="dxa"/>
            <w:tcBorders>
              <w:top w:val="single" w:color="auto" w:sz="4" w:space="0"/>
            </w:tcBorders>
            <w:shd w:val="clear" w:color="auto" w:fill="auto"/>
            <w:noWrap w:val="0"/>
            <w:vAlign w:val="top"/>
          </w:tcPr>
          <w:p w14:paraId="4900E2AB">
            <w:pPr>
              <w:keepNext w:val="0"/>
              <w:keepLines w:val="0"/>
              <w:suppressLineNumbers w:val="0"/>
              <w:spacing w:before="0" w:beforeAutospacing="0" w:after="0" w:afterAutospacing="0" w:line="500" w:lineRule="exact"/>
              <w:ind w:left="0" w:leftChars="0" w:right="0" w:rightChars="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5-10</w:t>
            </w:r>
          </w:p>
        </w:tc>
      </w:tr>
      <w:tr w14:paraId="4CFFDA1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27" w:type="dxa"/>
            <w:shd w:val="clear" w:color="auto" w:fill="auto"/>
            <w:noWrap w:val="0"/>
            <w:vAlign w:val="top"/>
          </w:tcPr>
          <w:p w14:paraId="43D95829">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bidi="ar"/>
              </w:rPr>
            </w:pPr>
            <w:r>
              <w:rPr>
                <w:rFonts w:hint="eastAsia" w:eastAsia="仿宋_GB2312"/>
                <w:color w:val="auto"/>
                <w:sz w:val="24"/>
                <w:szCs w:val="24"/>
                <w:lang w:val="en-US" w:eastAsia="zh-CN" w:bidi="ar"/>
              </w:rPr>
              <w:t>30-50</w:t>
            </w:r>
          </w:p>
        </w:tc>
        <w:tc>
          <w:tcPr>
            <w:tcW w:w="2405" w:type="dxa"/>
            <w:shd w:val="clear" w:color="auto" w:fill="auto"/>
            <w:noWrap w:val="0"/>
            <w:vAlign w:val="top"/>
          </w:tcPr>
          <w:p w14:paraId="0D055E17">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130-140</w:t>
            </w:r>
          </w:p>
        </w:tc>
        <w:tc>
          <w:tcPr>
            <w:tcW w:w="1691" w:type="dxa"/>
            <w:shd w:val="clear" w:color="auto" w:fill="auto"/>
            <w:noWrap w:val="0"/>
            <w:vAlign w:val="top"/>
          </w:tcPr>
          <w:p w14:paraId="01D37549">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5-10</w:t>
            </w:r>
          </w:p>
        </w:tc>
      </w:tr>
      <w:tr w14:paraId="1828091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27" w:type="dxa"/>
            <w:shd w:val="clear" w:color="auto" w:fill="auto"/>
            <w:noWrap w:val="0"/>
            <w:vAlign w:val="top"/>
          </w:tcPr>
          <w:p w14:paraId="41CDECD9">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bidi="ar"/>
              </w:rPr>
            </w:pPr>
            <w:r>
              <w:rPr>
                <w:rFonts w:hint="eastAsia" w:eastAsia="仿宋_GB2312"/>
                <w:color w:val="auto"/>
                <w:sz w:val="24"/>
                <w:szCs w:val="24"/>
                <w:lang w:val="en-US" w:eastAsia="zh-CN" w:bidi="ar"/>
              </w:rPr>
              <w:t>＜30</w:t>
            </w:r>
          </w:p>
        </w:tc>
        <w:tc>
          <w:tcPr>
            <w:tcW w:w="2405" w:type="dxa"/>
            <w:shd w:val="clear" w:color="auto" w:fill="auto"/>
            <w:noWrap w:val="0"/>
            <w:vAlign w:val="top"/>
          </w:tcPr>
          <w:p w14:paraId="338916AD">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95</w:t>
            </w:r>
          </w:p>
        </w:tc>
        <w:tc>
          <w:tcPr>
            <w:tcW w:w="1691" w:type="dxa"/>
            <w:shd w:val="clear" w:color="auto" w:fill="auto"/>
            <w:noWrap w:val="0"/>
            <w:vAlign w:val="top"/>
          </w:tcPr>
          <w:p w14:paraId="7D9FD3C6">
            <w:pPr>
              <w:keepNext w:val="0"/>
              <w:keepLines w:val="0"/>
              <w:suppressLineNumbers w:val="0"/>
              <w:spacing w:before="0" w:beforeAutospacing="0" w:after="0" w:afterAutospacing="0" w:line="500" w:lineRule="exact"/>
              <w:ind w:left="0" w:right="0"/>
              <w:jc w:val="center"/>
              <w:rPr>
                <w:rFonts w:hint="default" w:ascii="Times New Roman" w:hAnsi="Times New Roman" w:eastAsia="仿宋_GB2312"/>
                <w:color w:val="auto"/>
                <w:sz w:val="24"/>
                <w:szCs w:val="24"/>
                <w:lang w:val="en-US" w:eastAsia="zh-CN" w:bidi="ar"/>
              </w:rPr>
            </w:pPr>
            <w:r>
              <w:rPr>
                <w:rFonts w:hint="eastAsia" w:eastAsia="仿宋_GB2312"/>
                <w:color w:val="auto"/>
                <w:sz w:val="24"/>
                <w:szCs w:val="24"/>
                <w:lang w:val="en-US" w:eastAsia="zh-CN" w:bidi="ar"/>
              </w:rPr>
              <w:t>＜5</w:t>
            </w:r>
          </w:p>
        </w:tc>
      </w:tr>
    </w:tbl>
    <w:p w14:paraId="2236911E">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default" w:eastAsia="仿宋_GB2312"/>
          <w:color w:val="auto"/>
          <w:sz w:val="24"/>
          <w:szCs w:val="24"/>
          <w:lang w:val="en-US" w:eastAsia="zh-CN" w:bidi="ar"/>
        </w:rPr>
      </w:pPr>
      <w:r>
        <w:rPr>
          <w:rFonts w:hint="default" w:ascii="Times New Roman" w:hAnsi="Times New Roman" w:eastAsia="仿宋" w:cs="Times New Roman"/>
          <w:kern w:val="0"/>
          <w:sz w:val="24"/>
          <w:szCs w:val="24"/>
          <w:highlight w:val="none"/>
          <w:lang w:val="en-US" w:eastAsia="zh-CN" w:bidi="ar-SA"/>
        </w:rPr>
        <w:t>有害生物调查统计</w:t>
      </w:r>
    </w:p>
    <w:p w14:paraId="56D09652">
      <w:pPr>
        <w:keepNext w:val="0"/>
        <w:keepLines w:val="0"/>
        <w:pageBreakBefore w:val="0"/>
        <w:kinsoku/>
        <w:wordWrap/>
        <w:overflowPunct/>
        <w:topLinePunct w:val="0"/>
        <w:autoSpaceDN/>
        <w:bidi w:val="0"/>
        <w:adjustRightInd w:val="0"/>
        <w:snapToGrid w:val="0"/>
        <w:spacing w:line="440" w:lineRule="exact"/>
        <w:ind w:firstLine="480" w:firstLineChars="200"/>
        <w:jc w:val="center"/>
        <w:rPr>
          <w:rFonts w:hint="default" w:eastAsia="仿宋_GB2312"/>
          <w:color w:val="auto"/>
          <w:sz w:val="24"/>
          <w:szCs w:val="24"/>
          <w:lang w:val="en-US" w:eastAsia="zh-CN" w:bidi="ar"/>
        </w:rPr>
      </w:pPr>
      <w:r>
        <w:rPr>
          <w:rFonts w:hint="eastAsia" w:ascii="Times New Roman" w:hAnsi="Times New Roman" w:eastAsia="仿宋" w:cs="Times New Roman"/>
          <w:kern w:val="0"/>
          <w:sz w:val="24"/>
          <w:szCs w:val="24"/>
          <w:highlight w:val="none"/>
          <w:lang w:val="en-US" w:eastAsia="zh-CN" w:bidi="ar-SA"/>
        </w:rPr>
        <w:t>表</w:t>
      </w:r>
      <w:r>
        <w:rPr>
          <w:rFonts w:hint="eastAsia" w:eastAsia="仿宋" w:cs="Times New Roman"/>
          <w:kern w:val="0"/>
          <w:sz w:val="24"/>
          <w:szCs w:val="24"/>
          <w:highlight w:val="none"/>
          <w:lang w:val="en-US" w:eastAsia="zh-CN" w:bidi="ar-SA"/>
        </w:rPr>
        <w:t>10</w:t>
      </w:r>
      <w:r>
        <w:rPr>
          <w:rFonts w:hint="eastAsia" w:ascii="Times New Roman" w:hAnsi="Times New Roman" w:eastAsia="仿宋" w:cs="Times New Roman"/>
          <w:kern w:val="0"/>
          <w:sz w:val="24"/>
          <w:szCs w:val="24"/>
          <w:highlight w:val="none"/>
          <w:lang w:val="en-US" w:eastAsia="zh-CN" w:bidi="ar-SA"/>
        </w:rPr>
        <w:t xml:space="preserve"> </w:t>
      </w:r>
      <w:r>
        <w:rPr>
          <w:rFonts w:hint="default" w:ascii="Times New Roman" w:hAnsi="Times New Roman" w:eastAsia="仿宋" w:cs="Times New Roman"/>
          <w:kern w:val="0"/>
          <w:sz w:val="24"/>
          <w:szCs w:val="24"/>
          <w:highlight w:val="none"/>
          <w:lang w:val="en-US" w:eastAsia="zh-CN" w:bidi="ar-SA"/>
        </w:rPr>
        <w:t>病虫害发生情况</w:t>
      </w:r>
    </w:p>
    <w:tbl>
      <w:tblPr>
        <w:tblStyle w:val="7"/>
        <w:tblW w:w="10124" w:type="dxa"/>
        <w:jc w:val="center"/>
        <w:tblLayout w:type="fixed"/>
        <w:tblCellMar>
          <w:top w:w="0" w:type="dxa"/>
          <w:left w:w="108" w:type="dxa"/>
          <w:bottom w:w="0" w:type="dxa"/>
          <w:right w:w="108" w:type="dxa"/>
        </w:tblCellMar>
      </w:tblPr>
      <w:tblGrid>
        <w:gridCol w:w="3389"/>
        <w:gridCol w:w="6735"/>
      </w:tblGrid>
      <w:tr w14:paraId="28911431">
        <w:tblPrEx>
          <w:tblCellMar>
            <w:top w:w="0" w:type="dxa"/>
            <w:left w:w="108" w:type="dxa"/>
            <w:bottom w:w="0" w:type="dxa"/>
            <w:right w:w="108" w:type="dxa"/>
          </w:tblCellMar>
        </w:tblPrEx>
        <w:trPr>
          <w:jc w:val="center"/>
        </w:trPr>
        <w:tc>
          <w:tcPr>
            <w:tcW w:w="3389" w:type="dxa"/>
            <w:tcBorders>
              <w:top w:val="single" w:color="auto" w:sz="4" w:space="0"/>
              <w:bottom w:val="single" w:color="auto" w:sz="4" w:space="0"/>
            </w:tcBorders>
            <w:noWrap w:val="0"/>
            <w:vAlign w:val="top"/>
          </w:tcPr>
          <w:p w14:paraId="20B60C30">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firstLine="480" w:firstLineChars="200"/>
              <w:jc w:val="center"/>
              <w:rPr>
                <w:rFonts w:hint="default" w:ascii="Times New Roman" w:hAnsi="Times New Roman" w:eastAsia="仿宋" w:cs="Times New Roman"/>
                <w:kern w:val="0"/>
                <w:sz w:val="24"/>
                <w:szCs w:val="24"/>
                <w:highlight w:val="none"/>
                <w:lang w:val="en-US" w:eastAsia="zh-CN" w:bidi="ar-SA"/>
              </w:rPr>
            </w:pPr>
            <w:bookmarkStart w:id="2" w:name="_Toc525918015"/>
            <w:bookmarkStart w:id="3" w:name="_Toc525719105"/>
            <w:bookmarkStart w:id="4" w:name="_Toc525718185"/>
            <w:r>
              <w:rPr>
                <w:rFonts w:hint="default" w:ascii="Times New Roman" w:hAnsi="Times New Roman" w:eastAsia="仿宋" w:cs="Times New Roman"/>
                <w:kern w:val="0"/>
                <w:sz w:val="24"/>
                <w:szCs w:val="24"/>
                <w:highlight w:val="none"/>
                <w:lang w:val="en-US" w:eastAsia="zh-CN" w:bidi="ar-SA"/>
              </w:rPr>
              <w:t>时间</w:t>
            </w:r>
            <w:bookmarkEnd w:id="2"/>
            <w:bookmarkEnd w:id="3"/>
            <w:bookmarkEnd w:id="4"/>
          </w:p>
        </w:tc>
        <w:tc>
          <w:tcPr>
            <w:tcW w:w="6735" w:type="dxa"/>
            <w:tcBorders>
              <w:top w:val="single" w:color="auto" w:sz="4" w:space="0"/>
              <w:bottom w:val="single" w:color="auto" w:sz="4" w:space="0"/>
            </w:tcBorders>
            <w:noWrap w:val="0"/>
            <w:vAlign w:val="top"/>
          </w:tcPr>
          <w:p w14:paraId="5F98532F">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firstLine="480" w:firstLineChars="200"/>
              <w:jc w:val="center"/>
              <w:rPr>
                <w:rFonts w:hint="default" w:ascii="Times New Roman" w:hAnsi="Times New Roman" w:eastAsia="仿宋" w:cs="Times New Roman"/>
                <w:kern w:val="0"/>
                <w:sz w:val="24"/>
                <w:szCs w:val="24"/>
                <w:highlight w:val="none"/>
                <w:lang w:val="en-US" w:eastAsia="zh-CN" w:bidi="ar-SA"/>
              </w:rPr>
            </w:pPr>
            <w:bookmarkStart w:id="5" w:name="_Toc525719106"/>
            <w:bookmarkStart w:id="6" w:name="_Toc525718186"/>
            <w:bookmarkStart w:id="7" w:name="_Toc525918016"/>
            <w:r>
              <w:rPr>
                <w:rFonts w:hint="default" w:ascii="Times New Roman" w:hAnsi="Times New Roman" w:eastAsia="仿宋" w:cs="Times New Roman"/>
                <w:kern w:val="0"/>
                <w:sz w:val="24"/>
                <w:szCs w:val="24"/>
                <w:highlight w:val="none"/>
                <w:lang w:val="en-US" w:eastAsia="zh-CN" w:bidi="ar-SA"/>
              </w:rPr>
              <w:t>发生情况</w:t>
            </w:r>
            <w:bookmarkEnd w:id="5"/>
            <w:bookmarkEnd w:id="6"/>
            <w:bookmarkEnd w:id="7"/>
          </w:p>
        </w:tc>
      </w:tr>
      <w:tr w14:paraId="6F189970">
        <w:tblPrEx>
          <w:tblCellMar>
            <w:top w:w="0" w:type="dxa"/>
            <w:left w:w="108" w:type="dxa"/>
            <w:bottom w:w="0" w:type="dxa"/>
            <w:right w:w="108" w:type="dxa"/>
          </w:tblCellMar>
        </w:tblPrEx>
        <w:trPr>
          <w:jc w:val="center"/>
        </w:trPr>
        <w:tc>
          <w:tcPr>
            <w:tcW w:w="3389" w:type="dxa"/>
            <w:tcBorders>
              <w:top w:val="single" w:color="auto" w:sz="4" w:space="0"/>
            </w:tcBorders>
            <w:noWrap w:val="0"/>
            <w:vAlign w:val="center"/>
          </w:tcPr>
          <w:p w14:paraId="4D0FE408">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kern w:val="0"/>
                <w:sz w:val="24"/>
                <w:szCs w:val="24"/>
                <w:highlight w:val="none"/>
                <w:lang w:val="en-US" w:eastAsia="zh-CN" w:bidi="ar-SA"/>
              </w:rPr>
            </w:pPr>
            <w:bookmarkStart w:id="8" w:name="_Toc525718187"/>
            <w:bookmarkStart w:id="9" w:name="_Toc525719107"/>
            <w:bookmarkStart w:id="10" w:name="_Toc525918017"/>
            <w:r>
              <w:rPr>
                <w:rFonts w:hint="default" w:ascii="Times New Roman" w:hAnsi="Times New Roman" w:eastAsia="仿宋" w:cs="Times New Roman"/>
                <w:kern w:val="0"/>
                <w:sz w:val="24"/>
                <w:szCs w:val="24"/>
                <w:highlight w:val="none"/>
                <w:lang w:val="en-US" w:eastAsia="zh-CN" w:bidi="ar-SA"/>
              </w:rPr>
              <w:t>2021年5月-2021年10月</w:t>
            </w:r>
            <w:bookmarkEnd w:id="8"/>
            <w:bookmarkEnd w:id="9"/>
            <w:bookmarkEnd w:id="10"/>
          </w:p>
        </w:tc>
        <w:tc>
          <w:tcPr>
            <w:tcW w:w="6735" w:type="dxa"/>
            <w:tcBorders>
              <w:top w:val="single" w:color="auto" w:sz="4" w:space="0"/>
            </w:tcBorders>
            <w:noWrap w:val="0"/>
            <w:vAlign w:val="top"/>
          </w:tcPr>
          <w:p w14:paraId="10AA287D">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斜纹夜蛾、蚜虫、摇蚊，斜纹夜蛾幼虫及蚜虫吸食或啃食叶片和花朵，导致叶片或花朵</w:t>
            </w:r>
            <w:r>
              <w:rPr>
                <w:rFonts w:hint="default" w:ascii="Times New Roman" w:hAnsi="Times New Roman" w:eastAsia="仿宋" w:cs="Times New Roman"/>
                <w:sz w:val="24"/>
                <w:szCs w:val="24"/>
              </w:rPr>
              <w:t>出现中心黑色，边缘黄色的斑点</w:t>
            </w:r>
            <w:r>
              <w:rPr>
                <w:rFonts w:hint="default" w:ascii="Times New Roman" w:hAnsi="Times New Roman" w:eastAsia="仿宋" w:cs="Times New Roman"/>
                <w:sz w:val="24"/>
                <w:szCs w:val="24"/>
                <w:lang w:val="en-US" w:eastAsia="zh-CN"/>
              </w:rPr>
              <w:t>或出现密集小孔甚至形成网状。摇蚊幼虫</w:t>
            </w:r>
            <w:r>
              <w:rPr>
                <w:rFonts w:hint="default" w:ascii="Times New Roman" w:hAnsi="Times New Roman" w:eastAsia="仿宋" w:cs="Times New Roman"/>
                <w:sz w:val="24"/>
                <w:szCs w:val="24"/>
              </w:rPr>
              <w:t>啃食幼叶和幼苗胚轴</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lang w:val="en-US" w:eastAsia="zh-CN"/>
              </w:rPr>
              <w:t>导致幼苗死亡。</w:t>
            </w:r>
          </w:p>
        </w:tc>
      </w:tr>
      <w:tr w14:paraId="6CF241FE">
        <w:tblPrEx>
          <w:tblCellMar>
            <w:top w:w="0" w:type="dxa"/>
            <w:left w:w="108" w:type="dxa"/>
            <w:bottom w:w="0" w:type="dxa"/>
            <w:right w:w="108" w:type="dxa"/>
          </w:tblCellMar>
        </w:tblPrEx>
        <w:trPr>
          <w:jc w:val="center"/>
        </w:trPr>
        <w:tc>
          <w:tcPr>
            <w:tcW w:w="3389" w:type="dxa"/>
            <w:noWrap w:val="0"/>
            <w:vAlign w:val="top"/>
          </w:tcPr>
          <w:p w14:paraId="4590B9E4">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kern w:val="0"/>
                <w:sz w:val="24"/>
                <w:szCs w:val="24"/>
                <w:highlight w:val="none"/>
                <w:lang w:val="en-US" w:eastAsia="zh-CN" w:bidi="ar-SA"/>
              </w:rPr>
            </w:pPr>
            <w:bookmarkStart w:id="11" w:name="_Toc525718189"/>
            <w:bookmarkStart w:id="12" w:name="_Toc525719109"/>
            <w:bookmarkStart w:id="13" w:name="_Toc525918019"/>
            <w:r>
              <w:rPr>
                <w:rFonts w:hint="default" w:ascii="Times New Roman" w:hAnsi="Times New Roman" w:eastAsia="仿宋" w:cs="Times New Roman"/>
                <w:kern w:val="0"/>
                <w:sz w:val="24"/>
                <w:szCs w:val="24"/>
                <w:highlight w:val="none"/>
                <w:lang w:val="en-US" w:eastAsia="zh-CN" w:bidi="ar-SA"/>
              </w:rPr>
              <w:t>2021年5月-2021年10月</w:t>
            </w:r>
            <w:bookmarkEnd w:id="11"/>
            <w:bookmarkEnd w:id="12"/>
            <w:bookmarkEnd w:id="13"/>
          </w:p>
        </w:tc>
        <w:tc>
          <w:tcPr>
            <w:tcW w:w="6735" w:type="dxa"/>
            <w:noWrap w:val="0"/>
            <w:vAlign w:val="top"/>
          </w:tcPr>
          <w:p w14:paraId="27716DD3">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rPr>
                <w:rFonts w:hint="default"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sz w:val="24"/>
                <w:szCs w:val="24"/>
                <w:lang w:val="en-US" w:eastAsia="zh-CN"/>
              </w:rPr>
              <w:t>叶腐</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叶斑、炭疽病</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叶片呈黄褐色、腐烂病斑。</w:t>
            </w:r>
          </w:p>
        </w:tc>
      </w:tr>
      <w:tr w14:paraId="1AA9A9A4">
        <w:tblPrEx>
          <w:tblCellMar>
            <w:top w:w="0" w:type="dxa"/>
            <w:left w:w="108" w:type="dxa"/>
            <w:bottom w:w="0" w:type="dxa"/>
            <w:right w:w="108" w:type="dxa"/>
          </w:tblCellMar>
        </w:tblPrEx>
        <w:trPr>
          <w:jc w:val="center"/>
        </w:trPr>
        <w:tc>
          <w:tcPr>
            <w:tcW w:w="3389" w:type="dxa"/>
            <w:noWrap w:val="0"/>
            <w:vAlign w:val="center"/>
          </w:tcPr>
          <w:p w14:paraId="6ADE617D">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jc w:val="center"/>
              <w:rPr>
                <w:rFonts w:hint="default" w:ascii="Times New Roman" w:hAnsi="Times New Roman" w:eastAsia="仿宋" w:cs="Times New Roman"/>
                <w:kern w:val="0"/>
                <w:sz w:val="24"/>
                <w:szCs w:val="24"/>
                <w:highlight w:val="none"/>
                <w:lang w:val="en-US" w:eastAsia="zh-CN" w:bidi="ar-SA"/>
              </w:rPr>
            </w:pPr>
            <w:bookmarkStart w:id="14" w:name="_Toc525719111"/>
            <w:bookmarkStart w:id="15" w:name="_Toc525718191"/>
            <w:bookmarkStart w:id="16" w:name="_Toc525918021"/>
            <w:r>
              <w:rPr>
                <w:rFonts w:hint="default" w:ascii="Times New Roman" w:hAnsi="Times New Roman" w:eastAsia="仿宋" w:cs="Times New Roman"/>
                <w:kern w:val="0"/>
                <w:sz w:val="24"/>
                <w:szCs w:val="24"/>
                <w:highlight w:val="none"/>
                <w:lang w:val="en-US" w:eastAsia="zh-CN" w:bidi="ar-SA"/>
              </w:rPr>
              <w:t>2021年</w:t>
            </w:r>
            <w:r>
              <w:rPr>
                <w:rFonts w:hint="eastAsia" w:ascii="Times New Roman" w:hAnsi="Times New Roman" w:eastAsia="仿宋" w:cs="Times New Roman"/>
                <w:kern w:val="0"/>
                <w:sz w:val="24"/>
                <w:szCs w:val="24"/>
                <w:highlight w:val="none"/>
                <w:lang w:val="en-US" w:eastAsia="zh-CN" w:bidi="ar-SA"/>
              </w:rPr>
              <w:t>1</w:t>
            </w:r>
            <w:r>
              <w:rPr>
                <w:rFonts w:hint="default" w:ascii="Times New Roman" w:hAnsi="Times New Roman" w:eastAsia="仿宋" w:cs="Times New Roman"/>
                <w:kern w:val="0"/>
                <w:sz w:val="24"/>
                <w:szCs w:val="24"/>
                <w:highlight w:val="none"/>
                <w:lang w:val="en-US" w:eastAsia="zh-CN" w:bidi="ar-SA"/>
              </w:rPr>
              <w:t>月-2021年</w:t>
            </w:r>
            <w:r>
              <w:rPr>
                <w:rFonts w:hint="eastAsia" w:ascii="Times New Roman" w:hAnsi="Times New Roman" w:eastAsia="仿宋" w:cs="Times New Roman"/>
                <w:kern w:val="0"/>
                <w:sz w:val="24"/>
                <w:szCs w:val="24"/>
                <w:highlight w:val="none"/>
                <w:lang w:val="en-US" w:eastAsia="zh-CN" w:bidi="ar-SA"/>
              </w:rPr>
              <w:t>12</w:t>
            </w:r>
            <w:r>
              <w:rPr>
                <w:rFonts w:hint="default" w:ascii="Times New Roman" w:hAnsi="Times New Roman" w:eastAsia="仿宋" w:cs="Times New Roman"/>
                <w:kern w:val="0"/>
                <w:sz w:val="24"/>
                <w:szCs w:val="24"/>
                <w:highlight w:val="none"/>
                <w:lang w:val="en-US" w:eastAsia="zh-CN" w:bidi="ar-SA"/>
              </w:rPr>
              <w:t>月</w:t>
            </w:r>
            <w:bookmarkEnd w:id="14"/>
            <w:bookmarkEnd w:id="15"/>
            <w:bookmarkEnd w:id="16"/>
          </w:p>
        </w:tc>
        <w:tc>
          <w:tcPr>
            <w:tcW w:w="6735" w:type="dxa"/>
            <w:noWrap w:val="0"/>
            <w:vAlign w:val="top"/>
          </w:tcPr>
          <w:p w14:paraId="63EF477B">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right="0"/>
              <w:rPr>
                <w:rFonts w:hint="default"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kern w:val="0"/>
                <w:sz w:val="24"/>
                <w:szCs w:val="24"/>
                <w:highlight w:val="none"/>
                <w:lang w:val="en-US" w:eastAsia="zh-CN" w:bidi="ar-SA"/>
              </w:rPr>
              <w:t>福寿螺</w:t>
            </w:r>
            <w:r>
              <w:rPr>
                <w:rFonts w:hint="eastAsia" w:eastAsia="仿宋" w:cs="Times New Roman"/>
                <w:kern w:val="0"/>
                <w:sz w:val="24"/>
                <w:szCs w:val="24"/>
                <w:highlight w:val="none"/>
                <w:lang w:val="en-US" w:eastAsia="zh-CN" w:bidi="ar-SA"/>
              </w:rPr>
              <w:t>、苹果螺</w:t>
            </w:r>
            <w:r>
              <w:rPr>
                <w:rFonts w:hint="eastAsia" w:ascii="Times New Roman" w:hAnsi="Times New Roman" w:eastAsia="仿宋" w:cs="Times New Roman"/>
                <w:kern w:val="0"/>
                <w:sz w:val="24"/>
                <w:szCs w:val="24"/>
                <w:highlight w:val="none"/>
                <w:lang w:val="en-US" w:eastAsia="zh-CN" w:bidi="ar-SA"/>
              </w:rPr>
              <w:t>，啃食叶片、叶梗、花梗，啃食后的叶片残缺不全，叶梗、花梗被啃食后会导致植株死亡，其中发生高峰期为4-11月。</w:t>
            </w:r>
          </w:p>
        </w:tc>
      </w:tr>
      <w:tr w14:paraId="6A0696BE">
        <w:tblPrEx>
          <w:tblCellMar>
            <w:top w:w="0" w:type="dxa"/>
            <w:left w:w="108" w:type="dxa"/>
            <w:bottom w:w="0" w:type="dxa"/>
            <w:right w:w="108" w:type="dxa"/>
          </w:tblCellMar>
        </w:tblPrEx>
        <w:trPr>
          <w:jc w:val="center"/>
        </w:trPr>
        <w:tc>
          <w:tcPr>
            <w:tcW w:w="3389" w:type="dxa"/>
            <w:noWrap w:val="0"/>
            <w:vAlign w:val="center"/>
          </w:tcPr>
          <w:p w14:paraId="1AAC7169">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年5月-202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年10月</w:t>
            </w:r>
          </w:p>
        </w:tc>
        <w:tc>
          <w:tcPr>
            <w:tcW w:w="6735" w:type="dxa"/>
            <w:noWrap w:val="0"/>
            <w:vAlign w:val="top"/>
          </w:tcPr>
          <w:p w14:paraId="69F31D37">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斜纹夜蛾、蚜虫、摇蚊，斜纹夜蛾幼虫及蚜虫吸食或啃食叶片和花朵，导致叶片或花朵</w:t>
            </w:r>
            <w:r>
              <w:rPr>
                <w:rFonts w:hint="default" w:ascii="Times New Roman" w:hAnsi="Times New Roman" w:eastAsia="仿宋" w:cs="Times New Roman"/>
                <w:sz w:val="24"/>
                <w:szCs w:val="24"/>
              </w:rPr>
              <w:t>出现中心黑色，边缘黄色的斑点</w:t>
            </w:r>
            <w:r>
              <w:rPr>
                <w:rFonts w:hint="default" w:ascii="Times New Roman" w:hAnsi="Times New Roman" w:eastAsia="仿宋" w:cs="Times New Roman"/>
                <w:sz w:val="24"/>
                <w:szCs w:val="24"/>
                <w:lang w:val="en-US" w:eastAsia="zh-CN"/>
              </w:rPr>
              <w:t>或出现密集小孔甚至形成网状。摇蚊幼虫</w:t>
            </w:r>
            <w:r>
              <w:rPr>
                <w:rFonts w:hint="default" w:ascii="Times New Roman" w:hAnsi="Times New Roman" w:eastAsia="仿宋" w:cs="Times New Roman"/>
                <w:sz w:val="24"/>
                <w:szCs w:val="24"/>
              </w:rPr>
              <w:t>啃食幼叶和幼苗胚轴</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lang w:val="en-US" w:eastAsia="zh-CN"/>
              </w:rPr>
              <w:t>导致幼苗死亡。</w:t>
            </w:r>
          </w:p>
        </w:tc>
      </w:tr>
      <w:tr w14:paraId="36653BBF">
        <w:tblPrEx>
          <w:tblCellMar>
            <w:top w:w="0" w:type="dxa"/>
            <w:left w:w="108" w:type="dxa"/>
            <w:bottom w:w="0" w:type="dxa"/>
            <w:right w:w="108" w:type="dxa"/>
          </w:tblCellMar>
        </w:tblPrEx>
        <w:trPr>
          <w:jc w:val="center"/>
        </w:trPr>
        <w:tc>
          <w:tcPr>
            <w:tcW w:w="3389" w:type="dxa"/>
            <w:noWrap w:val="0"/>
            <w:vAlign w:val="top"/>
          </w:tcPr>
          <w:p w14:paraId="46D89951">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年5月-202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年10月</w:t>
            </w:r>
          </w:p>
        </w:tc>
        <w:tc>
          <w:tcPr>
            <w:tcW w:w="6735" w:type="dxa"/>
            <w:noWrap w:val="0"/>
            <w:vAlign w:val="top"/>
          </w:tcPr>
          <w:p w14:paraId="7CAD440E">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default"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sz w:val="24"/>
                <w:szCs w:val="24"/>
                <w:lang w:val="en-US" w:eastAsia="zh-CN"/>
              </w:rPr>
              <w:t>叶腐</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叶斑、炭疽病</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叶片呈黄褐色、腐烂病斑。</w:t>
            </w:r>
          </w:p>
        </w:tc>
      </w:tr>
      <w:tr w14:paraId="3F2D946F">
        <w:tblPrEx>
          <w:tblCellMar>
            <w:top w:w="0" w:type="dxa"/>
            <w:left w:w="108" w:type="dxa"/>
            <w:bottom w:w="0" w:type="dxa"/>
            <w:right w:w="108" w:type="dxa"/>
          </w:tblCellMar>
        </w:tblPrEx>
        <w:trPr>
          <w:jc w:val="center"/>
        </w:trPr>
        <w:tc>
          <w:tcPr>
            <w:tcW w:w="3389" w:type="dxa"/>
            <w:noWrap w:val="0"/>
            <w:vAlign w:val="center"/>
          </w:tcPr>
          <w:p w14:paraId="6DE4E268">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w:t>
            </w:r>
            <w:r>
              <w:rPr>
                <w:rFonts w:hint="eastAsia" w:ascii="Times New Roman" w:hAnsi="Times New Roman" w:eastAsia="仿宋" w:cs="Times New Roman"/>
                <w:kern w:val="0"/>
                <w:sz w:val="24"/>
                <w:szCs w:val="24"/>
                <w:highlight w:val="none"/>
                <w:lang w:val="en-US" w:eastAsia="zh-CN" w:bidi="ar-SA"/>
              </w:rPr>
              <w:t>1</w:t>
            </w:r>
            <w:r>
              <w:rPr>
                <w:rFonts w:hint="default" w:ascii="Times New Roman" w:hAnsi="Times New Roman" w:eastAsia="仿宋" w:cs="Times New Roman"/>
                <w:kern w:val="0"/>
                <w:sz w:val="24"/>
                <w:szCs w:val="24"/>
                <w:highlight w:val="none"/>
                <w:lang w:val="en-US" w:eastAsia="zh-CN" w:bidi="ar-SA"/>
              </w:rPr>
              <w:t>月-202</w:t>
            </w:r>
            <w:r>
              <w:rPr>
                <w:rFonts w:hint="eastAsia" w:eastAsia="仿宋" w:cs="Times New Roman"/>
                <w:kern w:val="0"/>
                <w:sz w:val="24"/>
                <w:szCs w:val="24"/>
                <w:highlight w:val="none"/>
                <w:lang w:val="en-US" w:eastAsia="zh-CN" w:bidi="ar-SA"/>
              </w:rPr>
              <w:t>2</w:t>
            </w:r>
            <w:r>
              <w:rPr>
                <w:rFonts w:hint="default" w:ascii="Times New Roman" w:hAnsi="Times New Roman" w:eastAsia="仿宋" w:cs="Times New Roman"/>
                <w:kern w:val="0"/>
                <w:sz w:val="24"/>
                <w:szCs w:val="24"/>
                <w:highlight w:val="none"/>
                <w:lang w:val="en-US" w:eastAsia="zh-CN" w:bidi="ar-SA"/>
              </w:rPr>
              <w:t>年</w:t>
            </w:r>
            <w:r>
              <w:rPr>
                <w:rFonts w:hint="eastAsia" w:ascii="Times New Roman" w:hAnsi="Times New Roman" w:eastAsia="仿宋" w:cs="Times New Roman"/>
                <w:kern w:val="0"/>
                <w:sz w:val="24"/>
                <w:szCs w:val="24"/>
                <w:highlight w:val="none"/>
                <w:lang w:val="en-US" w:eastAsia="zh-CN" w:bidi="ar-SA"/>
              </w:rPr>
              <w:t>12</w:t>
            </w:r>
            <w:r>
              <w:rPr>
                <w:rFonts w:hint="default" w:ascii="Times New Roman" w:hAnsi="Times New Roman" w:eastAsia="仿宋" w:cs="Times New Roman"/>
                <w:kern w:val="0"/>
                <w:sz w:val="24"/>
                <w:szCs w:val="24"/>
                <w:highlight w:val="none"/>
                <w:lang w:val="en-US" w:eastAsia="zh-CN" w:bidi="ar-SA"/>
              </w:rPr>
              <w:t>月</w:t>
            </w:r>
          </w:p>
        </w:tc>
        <w:tc>
          <w:tcPr>
            <w:tcW w:w="6735" w:type="dxa"/>
            <w:noWrap w:val="0"/>
            <w:vAlign w:val="top"/>
          </w:tcPr>
          <w:p w14:paraId="0F005DB9">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default"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kern w:val="0"/>
                <w:sz w:val="24"/>
                <w:szCs w:val="24"/>
                <w:highlight w:val="none"/>
                <w:lang w:val="en-US" w:eastAsia="zh-CN" w:bidi="ar-SA"/>
              </w:rPr>
              <w:t>福寿螺，啃食叶片、叶梗、花梗，啃食后的叶片残缺不全，叶梗、花梗被啃食后会导致植株死亡，其中发生高峰期为4-11月。</w:t>
            </w:r>
          </w:p>
        </w:tc>
      </w:tr>
      <w:tr w14:paraId="32ADEAB9">
        <w:tblPrEx>
          <w:tblCellMar>
            <w:top w:w="0" w:type="dxa"/>
            <w:left w:w="108" w:type="dxa"/>
            <w:bottom w:w="0" w:type="dxa"/>
            <w:right w:w="108" w:type="dxa"/>
          </w:tblCellMar>
        </w:tblPrEx>
        <w:trPr>
          <w:jc w:val="center"/>
        </w:trPr>
        <w:tc>
          <w:tcPr>
            <w:tcW w:w="3389" w:type="dxa"/>
            <w:noWrap w:val="0"/>
            <w:vAlign w:val="center"/>
          </w:tcPr>
          <w:p w14:paraId="35A4E305">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年5月-202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年10月</w:t>
            </w:r>
          </w:p>
        </w:tc>
        <w:tc>
          <w:tcPr>
            <w:tcW w:w="6735" w:type="dxa"/>
            <w:noWrap w:val="0"/>
            <w:vAlign w:val="top"/>
          </w:tcPr>
          <w:p w14:paraId="67CBD401">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斜纹夜蛾、蚜虫、摇蚊，斜纹夜蛾幼虫及蚜虫吸食或啃食叶片和花朵，导致叶片或花朵</w:t>
            </w:r>
            <w:r>
              <w:rPr>
                <w:rFonts w:hint="default" w:ascii="Times New Roman" w:hAnsi="Times New Roman" w:eastAsia="仿宋" w:cs="Times New Roman"/>
                <w:sz w:val="24"/>
                <w:szCs w:val="24"/>
              </w:rPr>
              <w:t>出现中心黑色，边缘黄色的斑点</w:t>
            </w:r>
            <w:r>
              <w:rPr>
                <w:rFonts w:hint="default" w:ascii="Times New Roman" w:hAnsi="Times New Roman" w:eastAsia="仿宋" w:cs="Times New Roman"/>
                <w:sz w:val="24"/>
                <w:szCs w:val="24"/>
                <w:lang w:val="en-US" w:eastAsia="zh-CN"/>
              </w:rPr>
              <w:t>或出现密集小孔甚至形成网状。摇蚊幼虫</w:t>
            </w:r>
            <w:r>
              <w:rPr>
                <w:rFonts w:hint="default" w:ascii="Times New Roman" w:hAnsi="Times New Roman" w:eastAsia="仿宋" w:cs="Times New Roman"/>
                <w:sz w:val="24"/>
                <w:szCs w:val="24"/>
              </w:rPr>
              <w:t>啃食幼叶和幼苗胚轴</w:t>
            </w:r>
            <w:r>
              <w:rPr>
                <w:rFonts w:hint="default" w:ascii="Times New Roman" w:hAnsi="Times New Roman" w:eastAsia="仿宋" w:cs="Times New Roman"/>
                <w:sz w:val="24"/>
                <w:szCs w:val="24"/>
                <w:lang w:eastAsia="zh-CN"/>
              </w:rPr>
              <w:t>，</w:t>
            </w:r>
            <w:r>
              <w:rPr>
                <w:rFonts w:hint="default" w:ascii="Times New Roman" w:hAnsi="Times New Roman" w:eastAsia="仿宋" w:cs="Times New Roman"/>
                <w:sz w:val="24"/>
                <w:szCs w:val="24"/>
                <w:lang w:val="en-US" w:eastAsia="zh-CN"/>
              </w:rPr>
              <w:t>导致幼苗死亡。</w:t>
            </w:r>
          </w:p>
        </w:tc>
      </w:tr>
      <w:tr w14:paraId="36116965">
        <w:tblPrEx>
          <w:tblCellMar>
            <w:top w:w="0" w:type="dxa"/>
            <w:left w:w="108" w:type="dxa"/>
            <w:bottom w:w="0" w:type="dxa"/>
            <w:right w:w="108" w:type="dxa"/>
          </w:tblCellMar>
        </w:tblPrEx>
        <w:trPr>
          <w:jc w:val="center"/>
        </w:trPr>
        <w:tc>
          <w:tcPr>
            <w:tcW w:w="3389" w:type="dxa"/>
            <w:noWrap w:val="0"/>
            <w:vAlign w:val="top"/>
          </w:tcPr>
          <w:p w14:paraId="06A8953E">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年5月-202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年10月</w:t>
            </w:r>
          </w:p>
        </w:tc>
        <w:tc>
          <w:tcPr>
            <w:tcW w:w="6735" w:type="dxa"/>
            <w:noWrap w:val="0"/>
            <w:vAlign w:val="top"/>
          </w:tcPr>
          <w:p w14:paraId="33CB16B2">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default"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sz w:val="24"/>
                <w:szCs w:val="24"/>
                <w:lang w:val="en-US" w:eastAsia="zh-CN"/>
              </w:rPr>
              <w:t>叶腐</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叶斑、炭疽病</w:t>
            </w:r>
            <w:r>
              <w:rPr>
                <w:rFonts w:hint="default" w:ascii="Times New Roman" w:hAnsi="Times New Roman" w:eastAsia="仿宋" w:cs="Times New Roman"/>
                <w:sz w:val="24"/>
                <w:szCs w:val="24"/>
                <w:lang w:val="en-US" w:eastAsia="zh-CN"/>
              </w:rPr>
              <w:t>，</w:t>
            </w:r>
            <w:r>
              <w:rPr>
                <w:rFonts w:hint="eastAsia" w:ascii="Times New Roman" w:hAnsi="Times New Roman" w:eastAsia="仿宋" w:cs="Times New Roman"/>
                <w:sz w:val="24"/>
                <w:szCs w:val="24"/>
                <w:lang w:val="en-US" w:eastAsia="zh-CN"/>
              </w:rPr>
              <w:t>叶片呈黄褐色、腐烂病斑。</w:t>
            </w:r>
          </w:p>
        </w:tc>
      </w:tr>
      <w:tr w14:paraId="5B6D7D8B">
        <w:tblPrEx>
          <w:tblCellMar>
            <w:top w:w="0" w:type="dxa"/>
            <w:left w:w="108" w:type="dxa"/>
            <w:bottom w:w="0" w:type="dxa"/>
            <w:right w:w="108" w:type="dxa"/>
          </w:tblCellMar>
        </w:tblPrEx>
        <w:trPr>
          <w:jc w:val="center"/>
        </w:trPr>
        <w:tc>
          <w:tcPr>
            <w:tcW w:w="3389" w:type="dxa"/>
            <w:tcBorders>
              <w:bottom w:val="single" w:color="auto" w:sz="4" w:space="0"/>
            </w:tcBorders>
            <w:shd w:val="clear" w:color="auto" w:fill="auto"/>
            <w:noWrap w:val="0"/>
            <w:vAlign w:val="center"/>
          </w:tcPr>
          <w:p w14:paraId="6EEE1ED1">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jc w:val="center"/>
              <w:rPr>
                <w:rFonts w:hint="default" w:ascii="Times New Roman" w:hAnsi="Times New Roman" w:eastAsia="仿宋" w:cs="Times New Roman"/>
                <w:kern w:val="0"/>
                <w:sz w:val="24"/>
                <w:szCs w:val="24"/>
                <w:highlight w:val="none"/>
                <w:lang w:val="en-US" w:eastAsia="zh-CN" w:bidi="ar-SA"/>
              </w:rPr>
            </w:pPr>
            <w:r>
              <w:rPr>
                <w:rFonts w:hint="default" w:ascii="Times New Roman" w:hAnsi="Times New Roman" w:eastAsia="仿宋" w:cs="Times New Roman"/>
                <w:kern w:val="0"/>
                <w:sz w:val="24"/>
                <w:szCs w:val="24"/>
                <w:highlight w:val="none"/>
                <w:lang w:val="en-US" w:eastAsia="zh-CN" w:bidi="ar-SA"/>
              </w:rPr>
              <w:t>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w:t>
            </w:r>
            <w:r>
              <w:rPr>
                <w:rFonts w:hint="eastAsia" w:ascii="Times New Roman" w:hAnsi="Times New Roman" w:eastAsia="仿宋" w:cs="Times New Roman"/>
                <w:kern w:val="0"/>
                <w:sz w:val="24"/>
                <w:szCs w:val="24"/>
                <w:highlight w:val="none"/>
                <w:lang w:val="en-US" w:eastAsia="zh-CN" w:bidi="ar-SA"/>
              </w:rPr>
              <w:t>1</w:t>
            </w:r>
            <w:r>
              <w:rPr>
                <w:rFonts w:hint="default" w:ascii="Times New Roman" w:hAnsi="Times New Roman" w:eastAsia="仿宋" w:cs="Times New Roman"/>
                <w:kern w:val="0"/>
                <w:sz w:val="24"/>
                <w:szCs w:val="24"/>
                <w:highlight w:val="none"/>
                <w:lang w:val="en-US" w:eastAsia="zh-CN" w:bidi="ar-SA"/>
              </w:rPr>
              <w:t>月-202</w:t>
            </w:r>
            <w:r>
              <w:rPr>
                <w:rFonts w:hint="eastAsia" w:eastAsia="仿宋" w:cs="Times New Roman"/>
                <w:kern w:val="0"/>
                <w:sz w:val="24"/>
                <w:szCs w:val="24"/>
                <w:highlight w:val="none"/>
                <w:lang w:val="en-US" w:eastAsia="zh-CN" w:bidi="ar-SA"/>
              </w:rPr>
              <w:t>3</w:t>
            </w:r>
            <w:r>
              <w:rPr>
                <w:rFonts w:hint="default" w:ascii="Times New Roman" w:hAnsi="Times New Roman" w:eastAsia="仿宋" w:cs="Times New Roman"/>
                <w:kern w:val="0"/>
                <w:sz w:val="24"/>
                <w:szCs w:val="24"/>
                <w:highlight w:val="none"/>
                <w:lang w:val="en-US" w:eastAsia="zh-CN" w:bidi="ar-SA"/>
              </w:rPr>
              <w:t>年</w:t>
            </w:r>
            <w:r>
              <w:rPr>
                <w:rFonts w:hint="eastAsia" w:ascii="Times New Roman" w:hAnsi="Times New Roman" w:eastAsia="仿宋" w:cs="Times New Roman"/>
                <w:kern w:val="0"/>
                <w:sz w:val="24"/>
                <w:szCs w:val="24"/>
                <w:highlight w:val="none"/>
                <w:lang w:val="en-US" w:eastAsia="zh-CN" w:bidi="ar-SA"/>
              </w:rPr>
              <w:t>12</w:t>
            </w:r>
            <w:r>
              <w:rPr>
                <w:rFonts w:hint="default" w:ascii="Times New Roman" w:hAnsi="Times New Roman" w:eastAsia="仿宋" w:cs="Times New Roman"/>
                <w:kern w:val="0"/>
                <w:sz w:val="24"/>
                <w:szCs w:val="24"/>
                <w:highlight w:val="none"/>
                <w:lang w:val="en-US" w:eastAsia="zh-CN" w:bidi="ar-SA"/>
              </w:rPr>
              <w:t>月</w:t>
            </w:r>
          </w:p>
        </w:tc>
        <w:tc>
          <w:tcPr>
            <w:tcW w:w="6735" w:type="dxa"/>
            <w:tcBorders>
              <w:bottom w:val="single" w:color="auto" w:sz="4" w:space="0"/>
            </w:tcBorders>
            <w:shd w:val="clear" w:color="auto" w:fill="auto"/>
            <w:noWrap w:val="0"/>
            <w:vAlign w:val="top"/>
          </w:tcPr>
          <w:p w14:paraId="045FFB1C">
            <w:pPr>
              <w:keepNext w:val="0"/>
              <w:keepLines w:val="0"/>
              <w:pageBreakBefore w:val="0"/>
              <w:suppressLineNumbers w:val="0"/>
              <w:kinsoku/>
              <w:wordWrap/>
              <w:overflowPunct/>
              <w:topLinePunct w:val="0"/>
              <w:autoSpaceDN/>
              <w:bidi w:val="0"/>
              <w:adjustRightInd w:val="0"/>
              <w:snapToGrid w:val="0"/>
              <w:spacing w:before="0" w:beforeAutospacing="0" w:after="0" w:afterAutospacing="0" w:line="440" w:lineRule="exact"/>
              <w:ind w:left="0" w:leftChars="0" w:right="0" w:rightChars="0"/>
              <w:rPr>
                <w:rFonts w:hint="eastAsia" w:ascii="Times New Roman" w:hAnsi="Times New Roman" w:eastAsia="仿宋" w:cs="Times New Roman"/>
                <w:kern w:val="0"/>
                <w:sz w:val="24"/>
                <w:szCs w:val="24"/>
                <w:highlight w:val="none"/>
                <w:lang w:val="en-US" w:eastAsia="zh-CN" w:bidi="ar-SA"/>
              </w:rPr>
            </w:pPr>
            <w:r>
              <w:rPr>
                <w:rFonts w:hint="eastAsia" w:ascii="Times New Roman" w:hAnsi="Times New Roman" w:eastAsia="仿宋" w:cs="Times New Roman"/>
                <w:kern w:val="0"/>
                <w:sz w:val="24"/>
                <w:szCs w:val="24"/>
                <w:highlight w:val="none"/>
                <w:lang w:val="en-US" w:eastAsia="zh-CN" w:bidi="ar-SA"/>
              </w:rPr>
              <w:t>福寿螺</w:t>
            </w:r>
            <w:r>
              <w:rPr>
                <w:rFonts w:hint="eastAsia" w:eastAsia="仿宋" w:cs="Times New Roman"/>
                <w:kern w:val="0"/>
                <w:sz w:val="24"/>
                <w:szCs w:val="24"/>
                <w:highlight w:val="none"/>
                <w:lang w:val="en-US" w:eastAsia="zh-CN" w:bidi="ar-SA"/>
              </w:rPr>
              <w:t>、苹果螺</w:t>
            </w:r>
            <w:r>
              <w:rPr>
                <w:rFonts w:hint="eastAsia" w:ascii="Times New Roman" w:hAnsi="Times New Roman" w:eastAsia="仿宋" w:cs="Times New Roman"/>
                <w:kern w:val="0"/>
                <w:sz w:val="24"/>
                <w:szCs w:val="24"/>
                <w:highlight w:val="none"/>
                <w:lang w:val="en-US" w:eastAsia="zh-CN" w:bidi="ar-SA"/>
              </w:rPr>
              <w:t>，啃食叶片、叶梗、花梗，啃食后的叶片残缺不全，叶梗、花梗被啃食后会导致植株死亡，其中发生高峰期为4-11月。</w:t>
            </w:r>
          </w:p>
        </w:tc>
      </w:tr>
    </w:tbl>
    <w:p w14:paraId="07E706C8">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六、重大分歧意见的处理经过和依据</w:t>
      </w:r>
    </w:p>
    <w:p w14:paraId="2BFF6551">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本标准研制过程中无重大分歧意见。</w:t>
      </w:r>
    </w:p>
    <w:p w14:paraId="10BA5829">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default" w:ascii="Times New Roman" w:hAnsi="Times New Roman" w:eastAsia="黑体" w:cs="Times New Roman"/>
          <w:color w:val="auto"/>
          <w:sz w:val="32"/>
          <w:szCs w:val="32"/>
          <w:highlight w:val="none"/>
        </w:rPr>
      </w:pPr>
      <w:bookmarkStart w:id="17" w:name="_Toc526940086"/>
      <w:r>
        <w:rPr>
          <w:rFonts w:hint="default" w:ascii="Times New Roman" w:hAnsi="Times New Roman" w:eastAsia="黑体" w:cs="Times New Roman"/>
          <w:color w:val="auto"/>
          <w:sz w:val="32"/>
          <w:szCs w:val="32"/>
          <w:highlight w:val="none"/>
        </w:rPr>
        <w:t>七、实施</w:t>
      </w:r>
      <w:bookmarkEnd w:id="17"/>
      <w:r>
        <w:rPr>
          <w:rFonts w:hint="default" w:ascii="Times New Roman" w:hAnsi="Times New Roman" w:eastAsia="黑体" w:cs="Times New Roman"/>
          <w:color w:val="auto"/>
          <w:sz w:val="32"/>
          <w:szCs w:val="32"/>
          <w:highlight w:val="none"/>
        </w:rPr>
        <w:t>标准的措施</w:t>
      </w:r>
    </w:p>
    <w:p w14:paraId="71ED8EE9">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1、深入从事</w:t>
      </w:r>
      <w:r>
        <w:rPr>
          <w:rFonts w:hint="eastAsia" w:eastAsia="仿宋_GB2312" w:cs="Times New Roman"/>
          <w:color w:val="auto"/>
          <w:sz w:val="28"/>
          <w:szCs w:val="28"/>
          <w:highlight w:val="none"/>
          <w:lang w:val="en-US" w:eastAsia="zh-CN"/>
        </w:rPr>
        <w:t>王莲栽培相关</w:t>
      </w:r>
      <w:r>
        <w:rPr>
          <w:rFonts w:hint="default" w:ascii="Times New Roman" w:hAnsi="Times New Roman" w:eastAsia="仿宋_GB2312" w:cs="Times New Roman"/>
          <w:color w:val="auto"/>
          <w:sz w:val="28"/>
          <w:szCs w:val="28"/>
          <w:highlight w:val="none"/>
        </w:rPr>
        <w:t>的</w:t>
      </w:r>
      <w:r>
        <w:rPr>
          <w:rFonts w:hint="eastAsia" w:eastAsia="仿宋_GB2312" w:cs="Times New Roman"/>
          <w:color w:val="auto"/>
          <w:sz w:val="28"/>
          <w:szCs w:val="28"/>
          <w:highlight w:val="none"/>
          <w:lang w:val="en-US" w:eastAsia="zh-CN"/>
        </w:rPr>
        <w:t>企业、景区对其进行</w:t>
      </w:r>
      <w:r>
        <w:rPr>
          <w:rFonts w:hint="default" w:ascii="Times New Roman" w:hAnsi="Times New Roman" w:eastAsia="仿宋_GB2312" w:cs="Times New Roman"/>
          <w:color w:val="auto"/>
          <w:sz w:val="28"/>
          <w:szCs w:val="28"/>
          <w:highlight w:val="none"/>
        </w:rPr>
        <w:t>技术要点培训，现场指导</w:t>
      </w:r>
      <w:r>
        <w:rPr>
          <w:rFonts w:hint="eastAsia" w:eastAsia="仿宋_GB2312" w:cs="Times New Roman"/>
          <w:color w:val="auto"/>
          <w:sz w:val="28"/>
          <w:szCs w:val="28"/>
          <w:highlight w:val="none"/>
          <w:lang w:val="en-US" w:eastAsia="zh-CN"/>
        </w:rPr>
        <w:t>采花标准要求、清洗要求及烘烤要求</w:t>
      </w:r>
      <w:r>
        <w:rPr>
          <w:rFonts w:hint="default" w:ascii="Times New Roman" w:hAnsi="Times New Roman" w:eastAsia="仿宋_GB2312" w:cs="Times New Roman"/>
          <w:color w:val="auto"/>
          <w:sz w:val="28"/>
          <w:szCs w:val="28"/>
          <w:highlight w:val="none"/>
        </w:rPr>
        <w:t>，</w:t>
      </w:r>
      <w:r>
        <w:rPr>
          <w:rFonts w:hint="eastAsia" w:eastAsia="仿宋_GB2312" w:cs="Times New Roman"/>
          <w:color w:val="auto"/>
          <w:sz w:val="28"/>
          <w:szCs w:val="28"/>
          <w:highlight w:val="none"/>
          <w:lang w:val="en-US" w:eastAsia="zh-CN"/>
        </w:rPr>
        <w:t>提高产品质量，</w:t>
      </w:r>
      <w:r>
        <w:rPr>
          <w:rFonts w:hint="default" w:ascii="Times New Roman" w:hAnsi="Times New Roman" w:eastAsia="仿宋_GB2312" w:cs="Times New Roman"/>
          <w:color w:val="auto"/>
          <w:sz w:val="28"/>
          <w:szCs w:val="28"/>
          <w:highlight w:val="none"/>
        </w:rPr>
        <w:t xml:space="preserve">促进示范基地的形成；  </w:t>
      </w:r>
    </w:p>
    <w:p w14:paraId="30C949DB">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2、通过广西花卉协会、休闲农业协会科技特派员等形式，集中组织培训，分发标准文本，并进行现场实际操作指导，提高标准的实践力和知名度，促进标准的贯彻实施。</w:t>
      </w:r>
    </w:p>
    <w:p w14:paraId="0BCDD495">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3、通过起草单位、广西花卉协会、休闲农业协会网站，宣传标准文本，提高知名度，提供多途径的标准文本获得方式。</w:t>
      </w:r>
    </w:p>
    <w:p w14:paraId="5DEFECAA">
      <w:pPr>
        <w:keepNext w:val="0"/>
        <w:keepLines w:val="0"/>
        <w:pageBreakBefore w:val="0"/>
        <w:kinsoku/>
        <w:wordWrap/>
        <w:overflowPunct/>
        <w:topLinePunct w:val="0"/>
        <w:autoSpaceDE w:val="0"/>
        <w:autoSpaceDN w:val="0"/>
        <w:bidi w:val="0"/>
        <w:adjustRightInd w:val="0"/>
        <w:snapToGrid w:val="0"/>
        <w:spacing w:line="440" w:lineRule="exact"/>
        <w:ind w:firstLine="640" w:firstLineChars="200"/>
        <w:jc w:val="left"/>
        <w:textAlignment w:val="auto"/>
        <w:rPr>
          <w:rFonts w:hint="eastAsia" w:eastAsia="黑体" w:cs="Times New Roman"/>
          <w:color w:val="auto"/>
          <w:sz w:val="32"/>
          <w:szCs w:val="32"/>
          <w:highlight w:val="none"/>
          <w:lang w:eastAsia="zh-CN"/>
        </w:rPr>
      </w:pPr>
      <w:r>
        <w:rPr>
          <w:rFonts w:hint="eastAsia" w:ascii="Times New Roman" w:hAnsi="Times New Roman" w:eastAsia="黑体" w:cs="Times New Roman"/>
          <w:color w:val="auto"/>
          <w:sz w:val="32"/>
          <w:szCs w:val="32"/>
          <w:highlight w:val="none"/>
          <w:lang w:eastAsia="zh-CN"/>
        </w:rPr>
        <w:t>八、</w:t>
      </w:r>
      <w:r>
        <w:rPr>
          <w:rFonts w:hint="eastAsia" w:eastAsia="黑体" w:cs="Times New Roman"/>
          <w:color w:val="auto"/>
          <w:sz w:val="32"/>
          <w:szCs w:val="32"/>
          <w:highlight w:val="none"/>
          <w:lang w:eastAsia="zh-CN"/>
        </w:rPr>
        <w:t>自我承诺</w:t>
      </w:r>
    </w:p>
    <w:p w14:paraId="55C167D7">
      <w:pPr>
        <w:keepNext w:val="0"/>
        <w:keepLines w:val="0"/>
        <w:pageBreakBefore w:val="0"/>
        <w:kinsoku/>
        <w:wordWrap/>
        <w:overflowPunct/>
        <w:topLinePunct w:val="0"/>
        <w:bidi w:val="0"/>
        <w:adjustRightInd w:val="0"/>
        <w:snapToGrid w:val="0"/>
        <w:spacing w:line="440" w:lineRule="exact"/>
        <w:ind w:firstLine="560" w:firstLineChars="200"/>
        <w:textAlignment w:val="auto"/>
        <w:rPr>
          <w:rFonts w:hint="eastAsia" w:ascii="Times New Roman" w:hAnsi="Times New Roman" w:eastAsia="仿宋_GB2312" w:cs="Times New Roman"/>
          <w:color w:val="auto"/>
          <w:sz w:val="28"/>
          <w:szCs w:val="28"/>
          <w:highlight w:val="none"/>
          <w:lang w:eastAsia="zh-CN"/>
        </w:rPr>
      </w:pPr>
      <w:r>
        <w:rPr>
          <w:rFonts w:hint="eastAsia" w:ascii="Times New Roman" w:hAnsi="Times New Roman" w:eastAsia="仿宋_GB2312" w:cs="Times New Roman"/>
          <w:color w:val="auto"/>
          <w:sz w:val="28"/>
          <w:szCs w:val="28"/>
          <w:highlight w:val="none"/>
          <w:lang w:eastAsia="zh-CN"/>
        </w:rPr>
        <w:t>本文件内容与各项指标不低于强制性、推荐性国家标准和行业标准。</w:t>
      </w:r>
    </w:p>
    <w:p w14:paraId="5D9079AA">
      <w:pPr>
        <w:keepNext w:val="0"/>
        <w:keepLines w:val="0"/>
        <w:pageBreakBefore w:val="0"/>
        <w:kinsoku/>
        <w:wordWrap/>
        <w:overflowPunct/>
        <w:topLinePunct w:val="0"/>
        <w:bidi w:val="0"/>
        <w:adjustRightInd w:val="0"/>
        <w:snapToGrid w:val="0"/>
        <w:spacing w:line="440" w:lineRule="exact"/>
        <w:jc w:val="center"/>
        <w:textAlignment w:val="auto"/>
        <w:rPr>
          <w:rFonts w:hint="default" w:ascii="Times New Roman" w:hAnsi="Times New Roman" w:eastAsia="仿宋" w:cs="Times New Roman"/>
          <w:sz w:val="28"/>
          <w:szCs w:val="28"/>
          <w:highlight w:val="none"/>
          <w:lang w:val="en-US" w:eastAsia="zh-CN"/>
        </w:rPr>
      </w:pPr>
      <w:r>
        <w:rPr>
          <w:rFonts w:hint="default" w:ascii="Times New Roman" w:hAnsi="Times New Roman" w:eastAsia="仿宋" w:cs="Times New Roman"/>
          <w:sz w:val="28"/>
          <w:szCs w:val="28"/>
          <w:highlight w:val="none"/>
          <w:lang w:val="en-US" w:eastAsia="zh-CN"/>
        </w:rPr>
        <w:t xml:space="preserve">           </w:t>
      </w:r>
    </w:p>
    <w:p w14:paraId="0217FD29">
      <w:pPr>
        <w:keepNext w:val="0"/>
        <w:keepLines w:val="0"/>
        <w:pageBreakBefore w:val="0"/>
        <w:kinsoku/>
        <w:wordWrap/>
        <w:overflowPunct/>
        <w:topLinePunct w:val="0"/>
        <w:bidi w:val="0"/>
        <w:adjustRightInd w:val="0"/>
        <w:snapToGrid w:val="0"/>
        <w:spacing w:line="440" w:lineRule="exact"/>
        <w:jc w:val="center"/>
        <w:textAlignment w:val="auto"/>
        <w:rPr>
          <w:rFonts w:hint="default" w:ascii="Times New Roman" w:hAnsi="Times New Roman" w:eastAsia="仿宋" w:cs="Times New Roman"/>
          <w:kern w:val="0"/>
          <w:sz w:val="28"/>
          <w:szCs w:val="28"/>
          <w:highlight w:val="none"/>
          <w:lang w:val="zh-CN"/>
        </w:rPr>
      </w:pPr>
      <w:r>
        <w:rPr>
          <w:rFonts w:hint="default" w:ascii="Times New Roman" w:hAnsi="Times New Roman" w:eastAsia="仿宋" w:cs="Times New Roman"/>
          <w:sz w:val="28"/>
          <w:szCs w:val="28"/>
          <w:highlight w:val="none"/>
          <w:lang w:val="en-US" w:eastAsia="zh-CN"/>
        </w:rPr>
        <w:t xml:space="preserve">          </w:t>
      </w:r>
      <w:r>
        <w:rPr>
          <w:rFonts w:hint="eastAsia" w:eastAsia="仿宋" w:cs="Times New Roman"/>
          <w:sz w:val="28"/>
          <w:szCs w:val="28"/>
          <w:highlight w:val="none"/>
          <w:lang w:eastAsia="zh-CN"/>
        </w:rPr>
        <w:t>团体标准</w:t>
      </w:r>
      <w:r>
        <w:rPr>
          <w:rFonts w:hint="default" w:ascii="Times New Roman" w:hAnsi="Times New Roman" w:eastAsia="仿宋" w:cs="Times New Roman"/>
          <w:sz w:val="28"/>
          <w:szCs w:val="28"/>
          <w:highlight w:val="none"/>
        </w:rPr>
        <w:t>《</w:t>
      </w:r>
      <w:r>
        <w:rPr>
          <w:rFonts w:hint="eastAsia" w:eastAsia="仿宋" w:cs="Times New Roman"/>
          <w:sz w:val="28"/>
          <w:szCs w:val="28"/>
          <w:highlight w:val="none"/>
          <w:lang w:val="en-US" w:eastAsia="zh-CN"/>
        </w:rPr>
        <w:t>王莲栽培</w:t>
      </w:r>
      <w:r>
        <w:rPr>
          <w:rFonts w:hint="default" w:ascii="Times New Roman" w:hAnsi="Times New Roman" w:eastAsia="仿宋" w:cs="Times New Roman"/>
          <w:sz w:val="28"/>
          <w:szCs w:val="28"/>
          <w:highlight w:val="none"/>
        </w:rPr>
        <w:t>技术规程》</w:t>
      </w:r>
    </w:p>
    <w:p w14:paraId="772B1508">
      <w:pPr>
        <w:keepNext w:val="0"/>
        <w:keepLines w:val="0"/>
        <w:pageBreakBefore w:val="0"/>
        <w:kinsoku/>
        <w:wordWrap/>
        <w:overflowPunct/>
        <w:topLinePunct w:val="0"/>
        <w:bidi w:val="0"/>
        <w:adjustRightInd w:val="0"/>
        <w:snapToGrid w:val="0"/>
        <w:spacing w:line="440" w:lineRule="exact"/>
        <w:textAlignment w:val="auto"/>
        <w:rPr>
          <w:rFonts w:hint="default" w:ascii="Times New Roman" w:hAnsi="Times New Roman" w:eastAsia="仿宋" w:cs="Times New Roman"/>
          <w:sz w:val="28"/>
          <w:szCs w:val="28"/>
          <w:highlight w:val="none"/>
        </w:rPr>
      </w:pPr>
      <w:r>
        <w:rPr>
          <w:rFonts w:hint="default" w:ascii="Times New Roman" w:hAnsi="Times New Roman" w:eastAsia="仿宋" w:cs="Times New Roman"/>
          <w:kern w:val="0"/>
          <w:sz w:val="28"/>
          <w:szCs w:val="28"/>
          <w:highlight w:val="none"/>
          <w:lang w:val="zh-CN"/>
        </w:rPr>
        <w:t xml:space="preserve">                             </w:t>
      </w:r>
      <w:r>
        <w:rPr>
          <w:rFonts w:hint="default" w:ascii="Times New Roman" w:hAnsi="Times New Roman" w:eastAsia="仿宋" w:cs="Times New Roman"/>
          <w:sz w:val="28"/>
          <w:szCs w:val="28"/>
          <w:highlight w:val="none"/>
        </w:rPr>
        <w:t>标准编制工作组</w:t>
      </w:r>
    </w:p>
    <w:p w14:paraId="0FC00B8E">
      <w:pPr>
        <w:keepNext w:val="0"/>
        <w:keepLines w:val="0"/>
        <w:pageBreakBefore w:val="0"/>
        <w:kinsoku/>
        <w:wordWrap/>
        <w:overflowPunct/>
        <w:topLinePunct w:val="0"/>
        <w:bidi w:val="0"/>
        <w:adjustRightInd w:val="0"/>
        <w:snapToGrid w:val="0"/>
        <w:spacing w:line="440" w:lineRule="exact"/>
        <w:textAlignment w:val="auto"/>
        <w:rPr>
          <w:rFonts w:hint="default" w:ascii="Times New Roman" w:hAnsi="Times New Roman" w:cs="Times New Roman"/>
          <w:highlight w:val="none"/>
        </w:rPr>
      </w:pPr>
      <w:r>
        <w:rPr>
          <w:rFonts w:hint="default" w:ascii="Times New Roman" w:hAnsi="Times New Roman" w:eastAsia="仿宋" w:cs="Times New Roman"/>
          <w:sz w:val="28"/>
          <w:szCs w:val="28"/>
          <w:highlight w:val="none"/>
        </w:rPr>
        <w:t xml:space="preserve">                            </w:t>
      </w:r>
      <w:r>
        <w:rPr>
          <w:rFonts w:hint="eastAsia" w:eastAsia="仿宋" w:cs="Times New Roman"/>
          <w:sz w:val="28"/>
          <w:szCs w:val="28"/>
          <w:highlight w:val="none"/>
          <w:lang w:val="en-US" w:eastAsia="zh-CN"/>
        </w:rPr>
        <w:t xml:space="preserve"> </w:t>
      </w:r>
      <w:r>
        <w:rPr>
          <w:rFonts w:hint="default" w:ascii="Times New Roman" w:hAnsi="Times New Roman" w:eastAsia="仿宋" w:cs="Times New Roman"/>
          <w:sz w:val="28"/>
          <w:szCs w:val="28"/>
          <w:highlight w:val="none"/>
        </w:rPr>
        <w:t>202</w:t>
      </w:r>
      <w:r>
        <w:rPr>
          <w:rFonts w:hint="eastAsia" w:eastAsia="仿宋" w:cs="Times New Roman"/>
          <w:sz w:val="28"/>
          <w:szCs w:val="28"/>
          <w:highlight w:val="none"/>
          <w:lang w:val="en-US" w:eastAsia="zh-CN"/>
        </w:rPr>
        <w:t>4</w:t>
      </w:r>
      <w:r>
        <w:rPr>
          <w:rFonts w:hint="default" w:ascii="Times New Roman" w:hAnsi="Times New Roman" w:eastAsia="仿宋" w:cs="Times New Roman"/>
          <w:sz w:val="28"/>
          <w:szCs w:val="28"/>
          <w:highlight w:val="none"/>
        </w:rPr>
        <w:t>年</w:t>
      </w:r>
      <w:r>
        <w:rPr>
          <w:rFonts w:hint="eastAsia" w:eastAsia="仿宋" w:cs="Times New Roman"/>
          <w:sz w:val="28"/>
          <w:szCs w:val="28"/>
          <w:highlight w:val="none"/>
          <w:lang w:val="en-US" w:eastAsia="zh-CN"/>
        </w:rPr>
        <w:t>9</w:t>
      </w:r>
      <w:r>
        <w:rPr>
          <w:rFonts w:hint="default" w:ascii="Times New Roman" w:hAnsi="Times New Roman" w:eastAsia="仿宋" w:cs="Times New Roman"/>
          <w:sz w:val="28"/>
          <w:szCs w:val="28"/>
          <w:highlight w:val="none"/>
        </w:rPr>
        <w:t>月</w:t>
      </w:r>
      <w:r>
        <w:rPr>
          <w:rFonts w:hint="eastAsia" w:eastAsia="仿宋" w:cs="Times New Roman"/>
          <w:sz w:val="28"/>
          <w:szCs w:val="28"/>
          <w:highlight w:val="none"/>
          <w:lang w:val="en-US" w:eastAsia="zh-CN"/>
        </w:rPr>
        <w:t>20</w:t>
      </w:r>
      <w:r>
        <w:rPr>
          <w:rFonts w:hint="default" w:ascii="Times New Roman" w:hAnsi="Times New Roman" w:eastAsia="仿宋" w:cs="Times New Roman"/>
          <w:sz w:val="28"/>
          <w:szCs w:val="28"/>
          <w:highlight w:val="none"/>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009D8">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584B3E">
                          <w:pPr>
                            <w:pStyle w:val="5"/>
                            <w:jc w:val="center"/>
                          </w:pPr>
                          <w:r>
                            <w:fldChar w:fldCharType="begin"/>
                          </w:r>
                          <w:r>
                            <w:instrText xml:space="preserve"> PAGE   \* MERGEFORMAT </w:instrText>
                          </w:r>
                          <w:r>
                            <w:fldChar w:fldCharType="separate"/>
                          </w:r>
                          <w:r>
                            <w:rPr>
                              <w:lang w:val="zh-CN"/>
                            </w:rP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5584B3E">
                    <w:pPr>
                      <w:pStyle w:val="5"/>
                      <w:jc w:val="center"/>
                    </w:pPr>
                    <w:r>
                      <w:fldChar w:fldCharType="begin"/>
                    </w:r>
                    <w:r>
                      <w:instrText xml:space="preserve"> PAGE   \* MERGEFORMAT </w:instrText>
                    </w:r>
                    <w:r>
                      <w:fldChar w:fldCharType="separate"/>
                    </w:r>
                    <w:r>
                      <w:rPr>
                        <w:lang w:val="zh-CN"/>
                      </w:rPr>
                      <w:t>10</w:t>
                    </w:r>
                    <w:r>
                      <w:fldChar w:fldCharType="end"/>
                    </w:r>
                  </w:p>
                </w:txbxContent>
              </v:textbox>
            </v:shape>
          </w:pict>
        </mc:Fallback>
      </mc:AlternateContent>
    </w:r>
  </w:p>
  <w:p w14:paraId="39E8444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694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FF99CF"/>
    <w:multiLevelType w:val="singleLevel"/>
    <w:tmpl w:val="E9FF99CF"/>
    <w:lvl w:ilvl="0" w:tentative="0">
      <w:start w:val="4"/>
      <w:numFmt w:val="chineseCounting"/>
      <w:suff w:val="nothing"/>
      <w:lvlText w:val="（%1）"/>
      <w:lvlJc w:val="left"/>
      <w:rPr>
        <w:rFonts w:hint="eastAsia"/>
      </w:rPr>
    </w:lvl>
  </w:abstractNum>
  <w:abstractNum w:abstractNumId="1">
    <w:nsid w:val="00497222"/>
    <w:multiLevelType w:val="singleLevel"/>
    <w:tmpl w:val="00497222"/>
    <w:lvl w:ilvl="0" w:tentative="0">
      <w:start w:val="6"/>
      <w:numFmt w:val="decimal"/>
      <w:suff w:val="nothing"/>
      <w:lvlText w:val="%1、"/>
      <w:lvlJc w:val="left"/>
    </w:lvl>
  </w:abstractNum>
  <w:abstractNum w:abstractNumId="2">
    <w:nsid w:val="049F6EC4"/>
    <w:multiLevelType w:val="singleLevel"/>
    <w:tmpl w:val="049F6EC4"/>
    <w:lvl w:ilvl="0" w:tentative="0">
      <w:start w:val="2"/>
      <w:numFmt w:val="chineseCounting"/>
      <w:suff w:val="nothing"/>
      <w:lvlText w:val="（%1）"/>
      <w:lvlJc w:val="left"/>
      <w:rPr>
        <w:rFonts w:hint="eastAsia"/>
      </w:rPr>
    </w:lvl>
  </w:abstractNum>
  <w:abstractNum w:abstractNumId="3">
    <w:nsid w:val="1FC91163"/>
    <w:multiLevelType w:val="multilevel"/>
    <w:tmpl w:val="1FC91163"/>
    <w:lvl w:ilvl="0" w:tentative="0">
      <w:start w:val="1"/>
      <w:numFmt w:val="decimal"/>
      <w:pStyle w:val="10"/>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4C9DF55"/>
    <w:multiLevelType w:val="singleLevel"/>
    <w:tmpl w:val="54C9DF55"/>
    <w:lvl w:ilvl="0" w:tentative="0">
      <w:start w:val="2"/>
      <w:numFmt w:val="decimal"/>
      <w:suff w:val="nothing"/>
      <w:lvlText w:val="%1、"/>
      <w:lvlJc w:val="left"/>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1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6"/>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5"/>
  </w:num>
  <w:num w:numId="3">
    <w:abstractNumId w:val="6"/>
  </w:num>
  <w:num w:numId="4">
    <w:abstractNumId w:val="2"/>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wNTI5ZDEwODdkZGExZDczODBjOTdiYjliNzU4N2UifQ=="/>
  </w:docVars>
  <w:rsids>
    <w:rsidRoot w:val="00000000"/>
    <w:rsid w:val="02D03C34"/>
    <w:rsid w:val="035E5282"/>
    <w:rsid w:val="05C40555"/>
    <w:rsid w:val="0B5E78CF"/>
    <w:rsid w:val="114A709B"/>
    <w:rsid w:val="14D02BD6"/>
    <w:rsid w:val="20BA68EF"/>
    <w:rsid w:val="249B24F4"/>
    <w:rsid w:val="2FE81F23"/>
    <w:rsid w:val="3151278B"/>
    <w:rsid w:val="31750EB3"/>
    <w:rsid w:val="37C7636E"/>
    <w:rsid w:val="474C6A4F"/>
    <w:rsid w:val="47666371"/>
    <w:rsid w:val="48D67B9D"/>
    <w:rsid w:val="49C04DA2"/>
    <w:rsid w:val="4CA54499"/>
    <w:rsid w:val="4E8862BB"/>
    <w:rsid w:val="5060320E"/>
    <w:rsid w:val="51D666DC"/>
    <w:rsid w:val="56FE5CF1"/>
    <w:rsid w:val="59B2068B"/>
    <w:rsid w:val="5E356576"/>
    <w:rsid w:val="61415E7F"/>
    <w:rsid w:val="66251D4F"/>
    <w:rsid w:val="6A7FA7BF"/>
    <w:rsid w:val="6E3716D4"/>
    <w:rsid w:val="6F400836"/>
    <w:rsid w:val="6FF11509"/>
    <w:rsid w:val="71AD3C7D"/>
    <w:rsid w:val="71F1706B"/>
    <w:rsid w:val="723A06DE"/>
    <w:rsid w:val="74907CD1"/>
    <w:rsid w:val="768E4619"/>
    <w:rsid w:val="76BD0508"/>
    <w:rsid w:val="796B2EED"/>
    <w:rsid w:val="7B6E39F2"/>
    <w:rsid w:val="7CDD2977"/>
    <w:rsid w:val="7DA3325B"/>
    <w:rsid w:val="9AEF21DF"/>
    <w:rsid w:val="F7F98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w:basedOn w:val="1"/>
    <w:qFormat/>
    <w:uiPriority w:val="0"/>
    <w:rPr>
      <w:sz w:val="28"/>
      <w:szCs w:val="20"/>
    </w:rPr>
  </w:style>
  <w:style w:type="paragraph" w:styleId="4">
    <w:name w:val="Body Text Indent"/>
    <w:basedOn w:val="1"/>
    <w:qFormat/>
    <w:uiPriority w:val="0"/>
    <w:pPr>
      <w:spacing w:after="120"/>
      <w:ind w:left="420" w:leftChars="200"/>
    </w:pPr>
    <w:rPr>
      <w:rFonts w:eastAsia="Times New Roman"/>
      <w:szCs w:val="24"/>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unhideWhenUsed/>
    <w:qFormat/>
    <w:uiPriority w:val="99"/>
    <w:pPr>
      <w:spacing w:before="100" w:beforeAutospacing="1" w:after="100" w:afterAutospacing="1"/>
      <w:jc w:val="left"/>
    </w:pPr>
    <w:rPr>
      <w:kern w:val="0"/>
      <w:sz w:val="24"/>
      <w:szCs w:val="24"/>
    </w:rPr>
  </w:style>
  <w:style w:type="table" w:styleId="8">
    <w:name w:val="Table Grid"/>
    <w:basedOn w:val="7"/>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0">
    <w:name w:val="章标题"/>
    <w:next w:val="11"/>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附录表标题"/>
    <w:basedOn w:val="1"/>
    <w:next w:val="11"/>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13">
    <w:name w:val="BodyText2"/>
    <w:basedOn w:val="1"/>
    <w:qFormat/>
    <w:uiPriority w:val="0"/>
    <w:pPr>
      <w:spacing w:after="120" w:line="480" w:lineRule="auto"/>
    </w:pPr>
    <w:rPr>
      <w:sz w:val="32"/>
      <w:szCs w:val="32"/>
    </w:rPr>
  </w:style>
  <w:style w:type="paragraph" w:customStyle="1" w:styleId="14">
    <w:name w:val="标准文件_段"/>
    <w:basedOn w:val="1"/>
    <w:link w:val="15"/>
    <w:qFormat/>
    <w:uiPriority w:val="0"/>
    <w:pPr>
      <w:keepNext w:val="0"/>
      <w:keepLines w:val="0"/>
      <w:widowControl/>
      <w:suppressLineNumbers w:val="0"/>
      <w:autoSpaceDE w:val="0"/>
      <w:autoSpaceDN w:val="0"/>
      <w:adjustRightInd/>
      <w:spacing w:before="0" w:beforeAutospacing="0" w:after="0" w:afterAutospacing="0" w:line="240" w:lineRule="auto"/>
      <w:ind w:left="0" w:right="0" w:firstLine="200" w:firstLineChars="200"/>
      <w:jc w:val="both"/>
    </w:pPr>
    <w:rPr>
      <w:rFonts w:hint="eastAsia" w:ascii="宋体" w:hAnsi="Times New Roman" w:eastAsia="宋体" w:cs="Times New Roman"/>
      <w:kern w:val="0"/>
      <w:sz w:val="21"/>
      <w:szCs w:val="20"/>
      <w:lang w:val="en-US" w:eastAsia="zh-CN" w:bidi="ar"/>
    </w:rPr>
  </w:style>
  <w:style w:type="character" w:customStyle="1" w:styleId="15">
    <w:name w:val="标准文件_段 Char"/>
    <w:basedOn w:val="9"/>
    <w:link w:val="14"/>
    <w:qFormat/>
    <w:uiPriority w:val="0"/>
    <w:rPr>
      <w:rFonts w:hint="eastAsia" w:ascii="宋体" w:hAnsi="宋体" w:eastAsia="宋体" w:cs="宋体"/>
      <w:sz w:val="21"/>
    </w:rPr>
  </w:style>
  <w:style w:type="paragraph" w:customStyle="1" w:styleId="16">
    <w:name w:val="标准文件_章标题"/>
    <w:next w:val="14"/>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5809</Words>
  <Characters>6343</Characters>
  <Lines>0</Lines>
  <Paragraphs>0</Paragraphs>
  <TotalTime>2</TotalTime>
  <ScaleCrop>false</ScaleCrop>
  <LinksUpToDate>false</LinksUpToDate>
  <CharactersWithSpaces>6477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2023-09-07T23:37:00Z</dcterms:created>
  <dc:creator>long</dc:creator>
  <cp:lastModifiedBy>昏阳</cp:lastModifiedBy>
  <dcterms:modified xsi:type="dcterms:W3CDTF">2024-10-09T12:08:35Z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205177598FFC465E8E1994195D60A7E0_12</vt:lpwstr>
  </property>
</Properties>
</file>